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860CC7" w:rsidP="001D1C0F">
      <w:pPr>
        <w:jc w:val="center"/>
        <w:rPr>
          <w:b/>
          <w:noProof/>
          <w:sz w:val="36"/>
          <w:szCs w:val="36"/>
        </w:rPr>
      </w:pPr>
      <w:r>
        <w:rPr>
          <w:b/>
          <w:noProof/>
          <w:sz w:val="36"/>
          <w:szCs w:val="36"/>
        </w:rPr>
        <w:t xml:space="preserve">Revised Draft </w:t>
      </w:r>
    </w:p>
    <w:p w:rsidR="001D1C0F" w:rsidRPr="001D1C0F" w:rsidRDefault="001D1C0F" w:rsidP="001D1C0F">
      <w:pPr>
        <w:jc w:val="center"/>
        <w:rPr>
          <w:b/>
          <w:noProof/>
          <w:sz w:val="36"/>
          <w:szCs w:val="36"/>
        </w:rPr>
      </w:pPr>
      <w:r w:rsidRPr="001D1C0F">
        <w:rPr>
          <w:b/>
          <w:noProof/>
          <w:sz w:val="36"/>
          <w:szCs w:val="36"/>
        </w:rPr>
        <w:t>Ozone Transport Commission Electric Generating Unit Emission Inventory Analysis</w:t>
      </w:r>
    </w:p>
    <w:p w:rsidR="001D1C0F" w:rsidRDefault="00860CC7" w:rsidP="001D1C0F">
      <w:pPr>
        <w:jc w:val="center"/>
        <w:rPr>
          <w:b/>
          <w:noProof/>
          <w:sz w:val="36"/>
          <w:szCs w:val="36"/>
        </w:rPr>
      </w:pPr>
      <w:r>
        <w:rPr>
          <w:b/>
          <w:noProof/>
          <w:sz w:val="36"/>
          <w:szCs w:val="36"/>
        </w:rPr>
        <w:t>September 18, 2014</w:t>
      </w: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1D1C0F" w:rsidRDefault="001D1C0F" w:rsidP="001D1C0F">
      <w:pPr>
        <w:jc w:val="center"/>
        <w:rPr>
          <w:b/>
          <w:noProof/>
          <w:sz w:val="36"/>
          <w:szCs w:val="36"/>
        </w:rPr>
      </w:pPr>
    </w:p>
    <w:p w:rsidR="0049073C" w:rsidRPr="00733DBD" w:rsidRDefault="0049073C" w:rsidP="0049073C">
      <w:pPr>
        <w:jc w:val="center"/>
        <w:rPr>
          <w:b/>
          <w:sz w:val="32"/>
          <w:szCs w:val="32"/>
        </w:rPr>
      </w:pPr>
      <w:r>
        <w:rPr>
          <w:b/>
          <w:sz w:val="32"/>
          <w:szCs w:val="32"/>
        </w:rPr>
        <w:lastRenderedPageBreak/>
        <w:t>Executive Summary</w:t>
      </w:r>
    </w:p>
    <w:p w:rsidR="0049073C" w:rsidRPr="00AD270B" w:rsidRDefault="0049073C" w:rsidP="0049073C">
      <w:pPr>
        <w:rPr>
          <w:b/>
        </w:rPr>
      </w:pPr>
      <w:r w:rsidRPr="00710AEB">
        <w:rPr>
          <w:rStyle w:val="CommentReference"/>
          <w:vanish/>
          <w:sz w:val="32"/>
          <w:szCs w:val="32"/>
        </w:rPr>
        <w:t>Ozoe oo</w:t>
      </w:r>
    </w:p>
    <w:p w:rsidR="0049073C" w:rsidRDefault="0049073C" w:rsidP="0049073C">
      <w:pPr>
        <w:rPr>
          <w:b/>
        </w:rPr>
      </w:pPr>
      <w:r>
        <w:rPr>
          <w:b/>
        </w:rPr>
        <w:t>Introduction</w:t>
      </w:r>
    </w:p>
    <w:p w:rsidR="0049073C" w:rsidRDefault="0049073C" w:rsidP="0049073C">
      <w:pPr>
        <w:rPr>
          <w:b/>
        </w:rPr>
      </w:pPr>
    </w:p>
    <w:p w:rsidR="0049073C" w:rsidRPr="002E7C23" w:rsidRDefault="0049073C" w:rsidP="0049073C">
      <w:pPr>
        <w:rPr>
          <w:noProof/>
        </w:rPr>
      </w:pPr>
      <w:r>
        <w:rPr>
          <w:noProof/>
        </w:rPr>
        <w:t xml:space="preserve">The Ozone Transport Commission (OTC) Stationary and Area Source Committee (SAS) was </w:t>
      </w:r>
      <w:r w:rsidRPr="002E7C23">
        <w:rPr>
          <w:noProof/>
        </w:rPr>
        <w:t>directed to identify the largest individual and groupings of emitters of nitrogen oxides (NOx) and volatile organic compounds (VOCs) located in an OTC state or an area that contributes to ozone levels in an OTC state.  SAS was specifically directed to:</w:t>
      </w:r>
    </w:p>
    <w:p w:rsidR="0049073C" w:rsidRPr="002E7C23" w:rsidRDefault="0049073C" w:rsidP="0049073C">
      <w:pPr>
        <w:rPr>
          <w:noProof/>
        </w:rPr>
      </w:pPr>
      <w:r w:rsidRPr="002E7C23">
        <w:rPr>
          <w:noProof/>
        </w:rPr>
        <w:t xml:space="preserve">  </w:t>
      </w:r>
    </w:p>
    <w:p w:rsidR="0049073C" w:rsidRPr="002E7C23" w:rsidRDefault="0049073C" w:rsidP="0049073C">
      <w:pPr>
        <w:tabs>
          <w:tab w:val="left" w:pos="1080"/>
        </w:tabs>
        <w:ind w:left="1080" w:hanging="360"/>
        <w:rPr>
          <w:noProof/>
        </w:rPr>
      </w:pPr>
      <w:r w:rsidRPr="002E7C23">
        <w:rPr>
          <w:noProof/>
        </w:rPr>
        <w:t>(1) examine individual sources and categories of sources with high short-term emissions of NOx or VOCs; and</w:t>
      </w:r>
    </w:p>
    <w:p w:rsidR="0049073C" w:rsidRPr="002E7C23" w:rsidRDefault="0049073C" w:rsidP="0049073C">
      <w:pPr>
        <w:ind w:left="1080" w:hanging="360"/>
        <w:rPr>
          <w:noProof/>
        </w:rPr>
      </w:pPr>
      <w:r w:rsidRPr="002E7C23">
        <w:rPr>
          <w:noProof/>
        </w:rPr>
        <w:t>(2) review electric generating unit (EGU) NOx emission rates to adjust long- term and short-term expectations for emissions reductions; and</w:t>
      </w:r>
    </w:p>
    <w:p w:rsidR="0049073C" w:rsidRPr="002E7C23" w:rsidRDefault="0049073C" w:rsidP="0049073C">
      <w:pPr>
        <w:ind w:left="1080" w:hanging="360"/>
        <w:rPr>
          <w:noProof/>
        </w:rPr>
      </w:pPr>
      <w:r w:rsidRPr="002E7C23">
        <w:rPr>
          <w:noProof/>
        </w:rPr>
        <w:t>(3) develop  state-by-state</w:t>
      </w:r>
      <w:r w:rsidRPr="002E7C23">
        <w:rPr>
          <w:b/>
          <w:noProof/>
        </w:rPr>
        <w:t xml:space="preserve"> </w:t>
      </w:r>
      <w:r w:rsidRPr="002E7C23">
        <w:rPr>
          <w:noProof/>
        </w:rPr>
        <w:t>EGU NOx emission rates achievable considering reasonably available controls.</w:t>
      </w:r>
    </w:p>
    <w:p w:rsidR="0049073C" w:rsidRPr="00427976" w:rsidRDefault="0049073C" w:rsidP="0049073C">
      <w:pPr>
        <w:ind w:left="720"/>
        <w:rPr>
          <w:noProof/>
        </w:rPr>
      </w:pPr>
    </w:p>
    <w:p w:rsidR="0049073C" w:rsidRDefault="0049073C" w:rsidP="0049073C">
      <w:pPr>
        <w:rPr>
          <w:noProof/>
        </w:rPr>
      </w:pPr>
      <w:r>
        <w:rPr>
          <w:noProof/>
        </w:rPr>
        <w:t xml:space="preserve">SAS was additionally directed  to </w:t>
      </w:r>
      <w:r w:rsidRPr="00987669">
        <w:rPr>
          <w:noProof/>
        </w:rPr>
        <w:t xml:space="preserve">“Evaluate </w:t>
      </w:r>
      <w:smartTag w:uri="urn:schemas-microsoft-com:office:smarttags" w:element="stockticker">
        <w:r w:rsidRPr="00987669">
          <w:rPr>
            <w:noProof/>
          </w:rPr>
          <w:t>OTR</w:t>
        </w:r>
      </w:smartTag>
      <w:r w:rsidRPr="00987669">
        <w:rPr>
          <w:noProof/>
        </w:rPr>
        <w:t>, super regional, and national goals and means to reduce the emissions in a technical and cost effective manner from the identified units and groupings.  The Committee should develop additional strategies, if necessary to reduce peak emissions from these units.”</w:t>
      </w:r>
    </w:p>
    <w:p w:rsidR="0049073C" w:rsidRDefault="0049073C" w:rsidP="0049073C">
      <w:pPr>
        <w:rPr>
          <w:noProof/>
        </w:rPr>
      </w:pPr>
    </w:p>
    <w:p w:rsidR="0049073C" w:rsidRPr="002E7C23" w:rsidRDefault="0049073C" w:rsidP="0049073C">
      <w:pPr>
        <w:rPr>
          <w:noProof/>
        </w:rPr>
      </w:pPr>
      <w:r w:rsidRPr="002E7C23">
        <w:rPr>
          <w:noProof/>
        </w:rPr>
        <w:t>SAS fomerd the Largest Contributor Workgroup to fullfill the SAS Charge. An EGU Subgroup (Subgroup) was formed to specifally evaluate EGU emissions and evalauet the task listed above.  This Whitepaper details the analysis conducted to date. The Subgroup, with the assistance of SAS and the OTC Modeling Committee, will perform additional cost-effectiveness and air quality impact</w:t>
      </w:r>
      <w:r w:rsidRPr="002E7C23">
        <w:rPr>
          <w:b/>
          <w:noProof/>
        </w:rPr>
        <w:t xml:space="preserve"> </w:t>
      </w:r>
      <w:r w:rsidRPr="002E7C23">
        <w:rPr>
          <w:noProof/>
        </w:rPr>
        <w:t>analyses as necessary.</w:t>
      </w:r>
    </w:p>
    <w:p w:rsidR="0049073C" w:rsidRPr="00987669" w:rsidRDefault="0049073C" w:rsidP="0049073C"/>
    <w:p w:rsidR="0049073C" w:rsidRDefault="0049073C" w:rsidP="0049073C">
      <w:pPr>
        <w:rPr>
          <w:b/>
        </w:rPr>
      </w:pPr>
      <w:r>
        <w:rPr>
          <w:b/>
        </w:rPr>
        <w:t>Project Scope</w:t>
      </w:r>
    </w:p>
    <w:p w:rsidR="0049073C" w:rsidRDefault="0049073C" w:rsidP="0049073C">
      <w:pPr>
        <w:rPr>
          <w:b/>
        </w:rPr>
      </w:pPr>
    </w:p>
    <w:p w:rsidR="0049073C" w:rsidRDefault="0049073C" w:rsidP="0049073C">
      <w:r>
        <w:t>The Sub</w:t>
      </w:r>
      <w:r w:rsidRPr="00197E99">
        <w:t>group</w:t>
      </w:r>
      <w:r>
        <w:t xml:space="preserve"> was directed to</w:t>
      </w:r>
      <w:r w:rsidRPr="00BA6513">
        <w:rPr>
          <w:rFonts w:cs="Arial"/>
        </w:rPr>
        <w:t xml:space="preserve"> </w:t>
      </w:r>
      <w:r>
        <w:rPr>
          <w:rFonts w:cs="Arial"/>
        </w:rPr>
        <w:t>identify the largest individual and groupings of emitters of NOx within and outside the Ozone Transport Region (</w:t>
      </w:r>
      <w:smartTag w:uri="urn:schemas-microsoft-com:office:smarttags" w:element="stockticker">
        <w:r>
          <w:rPr>
            <w:rFonts w:cs="Arial"/>
          </w:rPr>
          <w:t>OTR</w:t>
        </w:r>
      </w:smartTag>
      <w:r>
        <w:rPr>
          <w:rFonts w:cs="Arial"/>
        </w:rPr>
        <w:t>) by reviewing recent state, regional, and national emissions data.</w:t>
      </w:r>
      <w:r>
        <w:t xml:space="preserve"> The Subgroup was additionally directed to evaluate the feasibility of reducing peak emissions and to establish reasonably available control technology-based emissions rate limits.   Review of the data was completed to:</w:t>
      </w:r>
    </w:p>
    <w:p w:rsidR="0049073C" w:rsidRDefault="0049073C" w:rsidP="0049073C">
      <w:r>
        <w:rPr>
          <w:rFonts w:cs="Arial"/>
        </w:rPr>
        <w:t xml:space="preserve">  </w:t>
      </w:r>
    </w:p>
    <w:p w:rsidR="0049073C" w:rsidRDefault="0049073C" w:rsidP="0049073C">
      <w:pPr>
        <w:numPr>
          <w:ilvl w:val="0"/>
          <w:numId w:val="25"/>
        </w:numPr>
      </w:pPr>
      <w:r w:rsidRPr="00427976">
        <w:t>determine the highest short term emission sources regardless of total emissions</w:t>
      </w:r>
      <w:r>
        <w:t>; and</w:t>
      </w:r>
    </w:p>
    <w:p w:rsidR="0049073C" w:rsidRDefault="0049073C" w:rsidP="0049073C">
      <w:pPr>
        <w:numPr>
          <w:ilvl w:val="0"/>
          <w:numId w:val="25"/>
        </w:numPr>
      </w:pPr>
      <w:r>
        <w:t>evaluate NOx emission rates for EGUs considering multiple factors and</w:t>
      </w:r>
    </w:p>
    <w:p w:rsidR="0049073C" w:rsidRPr="00427976" w:rsidRDefault="0049073C" w:rsidP="0049073C">
      <w:pPr>
        <w:numPr>
          <w:ilvl w:val="0"/>
          <w:numId w:val="25"/>
        </w:numPr>
      </w:pPr>
      <w:proofErr w:type="gramStart"/>
      <w:r w:rsidRPr="00427976">
        <w:t>develo</w:t>
      </w:r>
      <w:r>
        <w:t>p</w:t>
      </w:r>
      <w:proofErr w:type="gramEnd"/>
      <w:r w:rsidRPr="00427976">
        <w:t xml:space="preserve"> strategies</w:t>
      </w:r>
      <w:r>
        <w:t xml:space="preserve"> for adjusting short term and long term expectations for emission rates for EGUs considering age, controls in use and fuel type on a unit by unit basis.</w:t>
      </w:r>
      <w:r w:rsidRPr="00427976">
        <w:t xml:space="preserve"> </w:t>
      </w:r>
    </w:p>
    <w:p w:rsidR="0049073C" w:rsidRPr="006E2472" w:rsidRDefault="0049073C" w:rsidP="0049073C">
      <w:pPr>
        <w:ind w:left="1080"/>
        <w:rPr>
          <w:rFonts w:cs="Arial"/>
        </w:rPr>
      </w:pPr>
    </w:p>
    <w:p w:rsidR="0049073C" w:rsidRDefault="0049073C" w:rsidP="0049073C">
      <w:r>
        <w:t>The results of these analyses are a potential state-by-state EGU ozone season NOx budget</w:t>
      </w:r>
      <w:r w:rsidRPr="00252941">
        <w:t xml:space="preserve"> </w:t>
      </w:r>
      <w:r>
        <w:t xml:space="preserve">and short term ozone season NOx emission rates </w:t>
      </w:r>
      <w:r w:rsidRPr="00431B78">
        <w:t xml:space="preserve">considering </w:t>
      </w:r>
      <w:r>
        <w:t>RACT and allowing for adjustments based on state specific knowledge on a case by case basis.  T</w:t>
      </w:r>
      <w:r w:rsidRPr="00B301B7">
        <w:t xml:space="preserve">he </w:t>
      </w:r>
      <w:r>
        <w:t xml:space="preserve">results of these </w:t>
      </w:r>
      <w:r w:rsidRPr="00B301B7">
        <w:t xml:space="preserve">data analyses </w:t>
      </w:r>
      <w:r>
        <w:t xml:space="preserve">will be used as inputs to the Eastern Regional Technical Advisory Committee (ERTAC) modeling tool. </w:t>
      </w:r>
    </w:p>
    <w:p w:rsidR="0049073C" w:rsidRDefault="0049073C" w:rsidP="0049073C"/>
    <w:p w:rsidR="0049073C" w:rsidRPr="00A67094" w:rsidRDefault="0049073C" w:rsidP="0049073C">
      <w:pPr>
        <w:rPr>
          <w:b/>
          <w:noProof/>
        </w:rPr>
      </w:pPr>
      <w:r w:rsidRPr="00A67094">
        <w:rPr>
          <w:noProof/>
        </w:rPr>
        <w:t>The Subgroup, with the assistance of SAS and the OTC Modeling Committee will perfrom additional cost-effectiveness and air quality impact analyses as necessary. The results of these analyses</w:t>
      </w:r>
      <w:r w:rsidRPr="00A67094">
        <w:t xml:space="preserve"> may be used to make recommendations to the United States Environmental Protection Agency (EPA) for future EGU regulations.</w:t>
      </w:r>
    </w:p>
    <w:p w:rsidR="0049073C" w:rsidRDefault="0049073C" w:rsidP="0049073C">
      <w:pPr>
        <w:rPr>
          <w:b/>
        </w:rPr>
      </w:pPr>
    </w:p>
    <w:p w:rsidR="0049073C" w:rsidRDefault="0049073C" w:rsidP="0049073C">
      <w:pPr>
        <w:rPr>
          <w:b/>
        </w:rPr>
      </w:pPr>
      <w:r>
        <w:rPr>
          <w:b/>
        </w:rPr>
        <w:t>Project Results</w:t>
      </w:r>
    </w:p>
    <w:p w:rsidR="0049073C" w:rsidRDefault="0049073C" w:rsidP="0049073C">
      <w:pPr>
        <w:rPr>
          <w:b/>
        </w:rPr>
      </w:pPr>
      <w:r>
        <w:rPr>
          <w:b/>
        </w:rPr>
        <w:t xml:space="preserve"> </w:t>
      </w:r>
    </w:p>
    <w:p w:rsidR="0049073C" w:rsidRPr="00890CDD" w:rsidRDefault="0049073C" w:rsidP="0049073C">
      <w:pPr>
        <w:rPr>
          <w:b/>
          <w:u w:val="single"/>
        </w:rPr>
      </w:pPr>
      <w:r w:rsidRPr="00890CDD">
        <w:rPr>
          <w:b/>
          <w:u w:val="single"/>
        </w:rPr>
        <w:t>Operation of Emissions Controls</w:t>
      </w:r>
    </w:p>
    <w:p w:rsidR="0049073C" w:rsidRDefault="0049073C" w:rsidP="0049073C">
      <w:pPr>
        <w:rPr>
          <w:u w:val="single"/>
        </w:rPr>
      </w:pPr>
    </w:p>
    <w:p w:rsidR="0049073C" w:rsidRDefault="0049073C" w:rsidP="0049073C">
      <w:pPr>
        <w:autoSpaceDE w:val="0"/>
        <w:autoSpaceDN w:val="0"/>
        <w:adjustRightInd w:val="0"/>
        <w:rPr>
          <w:rFonts w:cs="Arial"/>
        </w:rPr>
      </w:pPr>
      <w:r>
        <w:t>The</w:t>
      </w:r>
      <w:r w:rsidRPr="009171D1">
        <w:t xml:space="preserve"> </w:t>
      </w:r>
      <w:r w:rsidRPr="00F94364">
        <w:rPr>
          <w:rFonts w:cs="Arial"/>
        </w:rPr>
        <w:t xml:space="preserve">analysis of </w:t>
      </w:r>
      <w:r>
        <w:rPr>
          <w:rFonts w:cs="Arial"/>
        </w:rPr>
        <w:t xml:space="preserve">the </w:t>
      </w:r>
      <w:r w:rsidRPr="009171D1">
        <w:rPr>
          <w:rFonts w:cs="Arial"/>
        </w:rPr>
        <w:t>Top 25 Ozone Season NOx &amp; SO</w:t>
      </w:r>
      <w:r>
        <w:rPr>
          <w:rFonts w:cs="Arial"/>
          <w:vertAlign w:val="subscript"/>
        </w:rPr>
        <w:t>2</w:t>
      </w:r>
      <w:r w:rsidRPr="00F94364">
        <w:rPr>
          <w:rFonts w:cs="Arial"/>
        </w:rPr>
        <w:t xml:space="preserve"> Emitters in the OTC Modeling Domain</w:t>
      </w:r>
      <w:r>
        <w:rPr>
          <w:rFonts w:cs="Arial"/>
        </w:rPr>
        <w:t xml:space="preserve"> for 2011and 2012 and 2013 demonstrates that some EGUs equipped with NOx emissions controls are emitting NOx at rates and in  amounts equal to the pre-installation of post-combustion NOx controls.</w:t>
      </w:r>
      <w:r>
        <w:rPr>
          <w:rFonts w:cs="Arial"/>
          <w:vertAlign w:val="superscript"/>
        </w:rPr>
        <w:t>6</w:t>
      </w:r>
      <w:r>
        <w:rPr>
          <w:rFonts w:cs="Arial"/>
        </w:rPr>
        <w:t xml:space="preserve">  In 2012 approximately 35% of the coal-fired units equipped with post combustion NOx controls had average ozone season NOx emission rates at least 50% higher than its lowest ozone season NOx emission rate between 2003 and 2012. This data suggests that some EGU’s are either not operating or limiting the operation of their existing air pollution control devices. </w:t>
      </w:r>
    </w:p>
    <w:p w:rsidR="0049073C" w:rsidRPr="00A67094" w:rsidRDefault="0049073C" w:rsidP="0049073C">
      <w:pPr>
        <w:rPr>
          <w:rFonts w:cs="Arial"/>
        </w:rPr>
      </w:pPr>
    </w:p>
    <w:p w:rsidR="0049073C" w:rsidRPr="00A67094" w:rsidRDefault="0049073C" w:rsidP="0049073C">
      <w:pPr>
        <w:rPr>
          <w:rFonts w:cs="Arial"/>
          <w:b/>
          <w:u w:val="single"/>
        </w:rPr>
      </w:pPr>
      <w:r w:rsidRPr="00A67094">
        <w:rPr>
          <w:rFonts w:cs="Arial"/>
          <w:b/>
          <w:u w:val="single"/>
        </w:rPr>
        <w:t>Analysis 1 Ozone Season NOx Controls and EGU Retirements</w:t>
      </w:r>
    </w:p>
    <w:p w:rsidR="0049073C" w:rsidRPr="00A67094" w:rsidRDefault="0049073C" w:rsidP="0049073C">
      <w:pPr>
        <w:rPr>
          <w:rFonts w:cs="Arial"/>
          <w:u w:val="single"/>
        </w:rPr>
      </w:pPr>
    </w:p>
    <w:p w:rsidR="0049073C" w:rsidRPr="00A67094" w:rsidRDefault="0049073C" w:rsidP="0049073C">
      <w:r>
        <w:t xml:space="preserve">The </w:t>
      </w:r>
      <w:r w:rsidRPr="00A67094">
        <w:t xml:space="preserve">results of NOx control installation and the separate analysis on the potential impact of EGU retirements on ozone season NOx emissions will vary from state to state.  Some states anticipate no coal-fueled EGU retirements while other states anticipate a significant amount of coal-fueled EGU retirements. Analysis 1 </w:t>
      </w:r>
      <w:r>
        <w:t xml:space="preserve">results </w:t>
      </w:r>
      <w:r w:rsidRPr="00A67094">
        <w:t>demonstrate that significant NOx reductions can be achieved through the application of reasonably available controls, beyond what is achieved through retirements and fuel switching from coal to natural gas.</w:t>
      </w:r>
    </w:p>
    <w:p w:rsidR="0049073C" w:rsidRPr="00890CDD" w:rsidRDefault="0049073C" w:rsidP="0049073C"/>
    <w:p w:rsidR="0049073C" w:rsidRPr="00A67094" w:rsidRDefault="0049073C" w:rsidP="0049073C">
      <w:pPr>
        <w:rPr>
          <w:rFonts w:cs="Arial"/>
          <w:b/>
          <w:u w:val="single"/>
        </w:rPr>
      </w:pPr>
      <w:r w:rsidRPr="00A67094">
        <w:rPr>
          <w:b/>
          <w:u w:val="single"/>
        </w:rPr>
        <w:t xml:space="preserve">Analysis 2 Short Term- </w:t>
      </w:r>
      <w:r w:rsidRPr="00A67094">
        <w:rPr>
          <w:rFonts w:cs="Arial"/>
          <w:b/>
          <w:u w:val="single"/>
        </w:rPr>
        <w:t>Hourly</w:t>
      </w:r>
      <w:r>
        <w:rPr>
          <w:rFonts w:cs="Arial"/>
          <w:b/>
          <w:u w:val="single"/>
        </w:rPr>
        <w:t xml:space="preserve"> </w:t>
      </w:r>
      <w:r w:rsidRPr="00A67094">
        <w:rPr>
          <w:rFonts w:cs="Arial"/>
          <w:b/>
          <w:u w:val="single"/>
        </w:rPr>
        <w:t xml:space="preserve">EGU NOx emissions during a high ozone period </w:t>
      </w:r>
    </w:p>
    <w:p w:rsidR="0049073C" w:rsidRDefault="0049073C" w:rsidP="0049073C"/>
    <w:p w:rsidR="0049073C" w:rsidRDefault="0049073C" w:rsidP="0049073C">
      <w:pPr>
        <w:autoSpaceDE w:val="0"/>
        <w:autoSpaceDN w:val="0"/>
        <w:adjustRightInd w:val="0"/>
        <w:rPr>
          <w:rFonts w:cs="Arial"/>
        </w:rPr>
      </w:pPr>
      <w:r>
        <w:rPr>
          <w:rFonts w:cs="Arial"/>
        </w:rPr>
        <w:t>The results of the State of Delaware June 21-22, 2012 hourly EGU NOx emissions and hourly NOx emission rates demonstrate EGU NOx emissions varied on an hourly basis with maximum emissions occurring during hour 16 on June 20, 2012.  NOx emission rates from all types of coal-fired EGU peaked during this period.   The review of the related data also indicated:</w:t>
      </w:r>
    </w:p>
    <w:p w:rsidR="0049073C" w:rsidRDefault="0049073C" w:rsidP="0049073C">
      <w:pPr>
        <w:autoSpaceDE w:val="0"/>
        <w:autoSpaceDN w:val="0"/>
        <w:adjustRightInd w:val="0"/>
        <w:ind w:left="60"/>
        <w:rPr>
          <w:rFonts w:cs="Arial"/>
        </w:rPr>
      </w:pPr>
    </w:p>
    <w:p w:rsidR="0049073C" w:rsidRDefault="0049073C" w:rsidP="0049073C">
      <w:pPr>
        <w:numPr>
          <w:ilvl w:val="0"/>
          <w:numId w:val="23"/>
        </w:numPr>
        <w:autoSpaceDE w:val="0"/>
        <w:autoSpaceDN w:val="0"/>
        <w:adjustRightInd w:val="0"/>
        <w:rPr>
          <w:rFonts w:cs="Arial"/>
        </w:rPr>
      </w:pPr>
      <w:r>
        <w:rPr>
          <w:rFonts w:cs="Arial"/>
        </w:rPr>
        <w:t xml:space="preserve">Many EGUs cycled on and off line during the period to meet the grid’s electric demand, including a number of coal-fired EGUs; </w:t>
      </w:r>
    </w:p>
    <w:p w:rsidR="0049073C" w:rsidRDefault="0049073C" w:rsidP="0049073C">
      <w:pPr>
        <w:numPr>
          <w:ilvl w:val="0"/>
          <w:numId w:val="23"/>
        </w:numPr>
        <w:autoSpaceDE w:val="0"/>
        <w:autoSpaceDN w:val="0"/>
        <w:adjustRightInd w:val="0"/>
        <w:rPr>
          <w:rFonts w:cs="Arial"/>
        </w:rPr>
      </w:pPr>
      <w:r>
        <w:rPr>
          <w:rFonts w:cs="Arial"/>
        </w:rPr>
        <w:t>While the period experienced an air quality episode, many EGUs remained off line throughout the period, raising concerns  if the electric demand was higher thereby causing additional EGUs to be brought on line;</w:t>
      </w:r>
    </w:p>
    <w:p w:rsidR="0049073C" w:rsidRDefault="0049073C" w:rsidP="0049073C">
      <w:pPr>
        <w:numPr>
          <w:ilvl w:val="0"/>
          <w:numId w:val="23"/>
        </w:numPr>
        <w:autoSpaceDE w:val="0"/>
        <w:autoSpaceDN w:val="0"/>
        <w:adjustRightInd w:val="0"/>
        <w:rPr>
          <w:rFonts w:cs="Arial"/>
        </w:rPr>
      </w:pPr>
      <w:r>
        <w:rPr>
          <w:rFonts w:cs="Arial"/>
        </w:rPr>
        <w:t xml:space="preserve"> During hour 16, states subject to the </w:t>
      </w:r>
      <w:smartTag w:uri="urn:schemas-microsoft-com:office:smarttags" w:element="stockticker">
        <w:r>
          <w:rPr>
            <w:rFonts w:cs="Arial"/>
          </w:rPr>
          <w:t>CAIR</w:t>
        </w:r>
      </w:smartTag>
      <w:r>
        <w:rPr>
          <w:rFonts w:cs="Arial"/>
        </w:rPr>
        <w:t xml:space="preserve"> ozone season NOx program, coal- and natural gas-fired EGUs were responsible for the greatest heat input, with coal-fired EGU contributing approximately 79% and natural gas-fired EGUs contributing approximately 15% of the total NOx mass emissions.</w:t>
      </w:r>
    </w:p>
    <w:p w:rsidR="0049073C" w:rsidRDefault="0049073C" w:rsidP="0049073C">
      <w:pPr>
        <w:autoSpaceDE w:val="0"/>
        <w:autoSpaceDN w:val="0"/>
        <w:adjustRightInd w:val="0"/>
        <w:ind w:left="60"/>
        <w:rPr>
          <w:rFonts w:cs="Arial"/>
        </w:rPr>
      </w:pPr>
    </w:p>
    <w:p w:rsidR="0049073C" w:rsidRPr="00AF5EEE" w:rsidRDefault="0049073C" w:rsidP="0049073C">
      <w:pPr>
        <w:autoSpaceDE w:val="0"/>
        <w:autoSpaceDN w:val="0"/>
        <w:adjustRightInd w:val="0"/>
        <w:rPr>
          <w:rFonts w:cs="Arial"/>
        </w:rPr>
      </w:pPr>
      <w:r w:rsidRPr="00AF5EEE">
        <w:rPr>
          <w:rFonts w:cs="Arial"/>
        </w:rPr>
        <w:lastRenderedPageBreak/>
        <w:t xml:space="preserve">Analysis 2 results </w:t>
      </w:r>
      <w:r>
        <w:rPr>
          <w:rFonts w:cs="Arial"/>
        </w:rPr>
        <w:t xml:space="preserve">demonstrate </w:t>
      </w:r>
      <w:r w:rsidRPr="00AF5EEE">
        <w:rPr>
          <w:rFonts w:cs="Arial"/>
        </w:rPr>
        <w:t>that hourly NOx emission rates from a number of EGUs were greater during the period studied than expected from units with pollution controls installed.</w:t>
      </w:r>
    </w:p>
    <w:p w:rsidR="0049073C" w:rsidRPr="00890CDD" w:rsidRDefault="0049073C" w:rsidP="0049073C">
      <w:pPr>
        <w:autoSpaceDE w:val="0"/>
        <w:autoSpaceDN w:val="0"/>
        <w:adjustRightInd w:val="0"/>
        <w:rPr>
          <w:rFonts w:cs="Arial"/>
          <w:b/>
        </w:rPr>
      </w:pPr>
    </w:p>
    <w:p w:rsidR="0049073C" w:rsidRPr="00AF5EEE" w:rsidRDefault="0049073C" w:rsidP="0049073C">
      <w:pPr>
        <w:rPr>
          <w:b/>
          <w:u w:val="single"/>
        </w:rPr>
      </w:pPr>
      <w:r w:rsidRPr="00AF5EEE">
        <w:rPr>
          <w:b/>
          <w:u w:val="single"/>
        </w:rPr>
        <w:t xml:space="preserve">Analysis 3 Short Term Daily EGU NOx Emissions </w:t>
      </w:r>
    </w:p>
    <w:p w:rsidR="0049073C" w:rsidRDefault="0049073C" w:rsidP="0049073C">
      <w:pPr>
        <w:autoSpaceDE w:val="0"/>
        <w:autoSpaceDN w:val="0"/>
        <w:adjustRightInd w:val="0"/>
        <w:rPr>
          <w:rFonts w:cs="Arial"/>
        </w:rPr>
      </w:pPr>
    </w:p>
    <w:p w:rsidR="0049073C" w:rsidRPr="00761C5A" w:rsidRDefault="0049073C" w:rsidP="0049073C">
      <w:pPr>
        <w:rPr>
          <w:rFonts w:cs="Arial"/>
        </w:rPr>
      </w:pPr>
      <w:r w:rsidRPr="00761C5A">
        <w:rPr>
          <w:rFonts w:cs="Arial"/>
        </w:rPr>
        <w:t xml:space="preserve">The results of the 2011 daily EGU NOx emissions analyses demonstrate that daily EGU NOx emissions increased with the ambient temperature, with the highest daily EGU NOx emissions occurring on days with the highest daily temperatures.  A large amount  of EGU NOx emitted on high energy demand days (HEDD) in the </w:t>
      </w:r>
      <w:smartTag w:uri="urn:schemas-microsoft-com:office:smarttags" w:element="stockticker">
        <w:r w:rsidRPr="00761C5A">
          <w:rPr>
            <w:rFonts w:cs="Arial"/>
          </w:rPr>
          <w:t>OTR</w:t>
        </w:r>
      </w:smartTag>
      <w:r w:rsidRPr="00761C5A">
        <w:rPr>
          <w:rFonts w:cs="Arial"/>
        </w:rPr>
        <w:t xml:space="preserve"> and Lake Michigan Air Directors Consortium (LADCO) region during the 2011 ozone season were from coal-fired units.  NOx emissions from EGUs firing other fuels (e.g., diesel, residual oil, natural gas) were very small in the LADCO region, while their contribution was significant in the OTR, especially on HEDD.</w:t>
      </w:r>
    </w:p>
    <w:p w:rsidR="0049073C" w:rsidRPr="00890CDD" w:rsidRDefault="0049073C" w:rsidP="0049073C">
      <w:pPr>
        <w:autoSpaceDE w:val="0"/>
        <w:autoSpaceDN w:val="0"/>
        <w:adjustRightInd w:val="0"/>
        <w:rPr>
          <w:rFonts w:cs="Arial"/>
          <w:b/>
        </w:rPr>
      </w:pPr>
    </w:p>
    <w:p w:rsidR="0049073C" w:rsidRDefault="0049073C" w:rsidP="0049073C">
      <w:pPr>
        <w:autoSpaceDE w:val="0"/>
        <w:autoSpaceDN w:val="0"/>
        <w:adjustRightInd w:val="0"/>
        <w:rPr>
          <w:rFonts w:cs="Arial"/>
          <w:b/>
          <w:u w:val="single"/>
        </w:rPr>
      </w:pPr>
      <w:r w:rsidRPr="00761C5A">
        <w:rPr>
          <w:rFonts w:cs="Arial"/>
          <w:b/>
          <w:u w:val="single"/>
        </w:rPr>
        <w:t xml:space="preserve">Analysis 4 “Coal </w:t>
      </w:r>
      <w:smartTag w:uri="urn:schemas-microsoft-com:office:smarttags" w:element="stockticker">
        <w:r w:rsidRPr="00761C5A">
          <w:rPr>
            <w:rFonts w:cs="Arial"/>
            <w:b/>
            <w:u w:val="single"/>
          </w:rPr>
          <w:t>SCR</w:t>
        </w:r>
      </w:smartTag>
      <w:r w:rsidRPr="00761C5A">
        <w:rPr>
          <w:rFonts w:cs="Arial"/>
          <w:b/>
          <w:u w:val="single"/>
        </w:rPr>
        <w:t xml:space="preserve"> Scorecard” </w:t>
      </w:r>
    </w:p>
    <w:p w:rsidR="0049073C" w:rsidRPr="00581984" w:rsidRDefault="0049073C" w:rsidP="0049073C">
      <w:pPr>
        <w:autoSpaceDE w:val="0"/>
        <w:autoSpaceDN w:val="0"/>
        <w:adjustRightInd w:val="0"/>
        <w:rPr>
          <w:rFonts w:cs="Arial"/>
          <w:u w:val="single"/>
        </w:rPr>
      </w:pPr>
    </w:p>
    <w:p w:rsidR="0049073C" w:rsidRDefault="0049073C" w:rsidP="0049073C">
      <w:pPr>
        <w:autoSpaceDE w:val="0"/>
        <w:autoSpaceDN w:val="0"/>
        <w:adjustRightInd w:val="0"/>
        <w:rPr>
          <w:rFonts w:cs="Arial"/>
          <w:b/>
          <w:color w:val="FF0000"/>
        </w:rPr>
      </w:pPr>
      <w:r>
        <w:rPr>
          <w:rFonts w:cs="Arial"/>
        </w:rPr>
        <w:t xml:space="preserve">The </w:t>
      </w:r>
      <w:proofErr w:type="gramStart"/>
      <w:r>
        <w:rPr>
          <w:rFonts w:cs="Arial"/>
        </w:rPr>
        <w:t xml:space="preserve">results of the “Coal </w:t>
      </w:r>
      <w:smartTag w:uri="urn:schemas-microsoft-com:office:smarttags" w:element="stockticker">
        <w:r>
          <w:rPr>
            <w:rFonts w:cs="Arial"/>
          </w:rPr>
          <w:t>SCR</w:t>
        </w:r>
      </w:smartTag>
      <w:r>
        <w:rPr>
          <w:rFonts w:cs="Arial"/>
        </w:rPr>
        <w:t xml:space="preserve"> Scorecard” analysis illustrates</w:t>
      </w:r>
      <w:proofErr w:type="gramEnd"/>
      <w:r>
        <w:rPr>
          <w:rFonts w:cs="Arial"/>
        </w:rPr>
        <w:t xml:space="preserve"> the relative performance of SCR coal units in listed states. The variations illustrate differing state regulations with respect to NOx emissions. Analysis results indicate some EGUs are either not operating or limiting the operation of their pollution control devices.</w:t>
      </w:r>
      <w:r>
        <w:rPr>
          <w:rFonts w:cs="Arial"/>
          <w:b/>
          <w:color w:val="FF0000"/>
        </w:rPr>
        <w:t xml:space="preserve">  </w:t>
      </w:r>
    </w:p>
    <w:p w:rsidR="0049073C" w:rsidRDefault="0049073C" w:rsidP="0049073C">
      <w:pPr>
        <w:autoSpaceDE w:val="0"/>
        <w:autoSpaceDN w:val="0"/>
        <w:adjustRightInd w:val="0"/>
        <w:rPr>
          <w:rFonts w:cs="Arial"/>
          <w:b/>
          <w:color w:val="FF0000"/>
        </w:rPr>
      </w:pPr>
    </w:p>
    <w:p w:rsidR="0049073C" w:rsidRPr="00890CDD" w:rsidRDefault="0049073C" w:rsidP="0049073C">
      <w:pPr>
        <w:autoSpaceDE w:val="0"/>
        <w:autoSpaceDN w:val="0"/>
        <w:adjustRightInd w:val="0"/>
        <w:rPr>
          <w:rFonts w:cs="Arial"/>
          <w:b/>
          <w:u w:val="single"/>
        </w:rPr>
      </w:pPr>
      <w:r w:rsidRPr="00890CDD">
        <w:rPr>
          <w:rFonts w:cs="Arial"/>
          <w:b/>
          <w:u w:val="single"/>
        </w:rPr>
        <w:t>Analysis 5- Recommendation for Modeling of Short Term NOx Emission Limits</w:t>
      </w:r>
    </w:p>
    <w:p w:rsidR="0049073C" w:rsidRDefault="0049073C" w:rsidP="0049073C">
      <w:pPr>
        <w:autoSpaceDE w:val="0"/>
        <w:autoSpaceDN w:val="0"/>
        <w:adjustRightInd w:val="0"/>
        <w:rPr>
          <w:rFonts w:cs="Arial"/>
          <w:b/>
          <w:color w:val="FF0000"/>
        </w:rPr>
      </w:pPr>
    </w:p>
    <w:p w:rsidR="0049073C" w:rsidRDefault="0049073C" w:rsidP="0049073C">
      <w:pPr>
        <w:autoSpaceDE w:val="0"/>
        <w:autoSpaceDN w:val="0"/>
        <w:adjustRightInd w:val="0"/>
        <w:rPr>
          <w:rFonts w:cs="Arial"/>
        </w:rPr>
      </w:pPr>
      <w:r>
        <w:rPr>
          <w:rFonts w:cs="Arial"/>
        </w:rPr>
        <w:t xml:space="preserve">The NOx emission rates for some EGUs in recent ozone seasons were significantly higher than the NOx emission rate demonstrated by those EGUs in previous years and those expected from units with installed NOx controls.  </w:t>
      </w:r>
    </w:p>
    <w:p w:rsidR="0049073C" w:rsidRDefault="0049073C" w:rsidP="0049073C">
      <w:pPr>
        <w:autoSpaceDE w:val="0"/>
        <w:autoSpaceDN w:val="0"/>
        <w:adjustRightInd w:val="0"/>
        <w:rPr>
          <w:rFonts w:cs="Arial"/>
        </w:rPr>
      </w:pPr>
    </w:p>
    <w:p w:rsidR="0049073C" w:rsidRDefault="0049073C" w:rsidP="0049073C">
      <w:pPr>
        <w:autoSpaceDE w:val="0"/>
        <w:autoSpaceDN w:val="0"/>
        <w:adjustRightInd w:val="0"/>
        <w:rPr>
          <w:rFonts w:cs="Arial"/>
        </w:rPr>
      </w:pPr>
      <w:r>
        <w:rPr>
          <w:rFonts w:cs="Arial"/>
        </w:rPr>
        <w:t>A potential solution to the air quality problems caused by sources not operating or limiting the  operation of their emission controls  is the establishment of short term NOx emission rate limits for EGUs based on state reported short term NOx emission rates and reflective of control practices using reasonably available applicable NOx emissions controls.</w:t>
      </w:r>
    </w:p>
    <w:p w:rsidR="0049073C" w:rsidRDefault="0049073C" w:rsidP="0049073C">
      <w:pPr>
        <w:autoSpaceDE w:val="0"/>
        <w:autoSpaceDN w:val="0"/>
        <w:adjustRightInd w:val="0"/>
        <w:rPr>
          <w:rFonts w:cs="Arial"/>
        </w:rPr>
      </w:pPr>
    </w:p>
    <w:p w:rsidR="0049073C" w:rsidRDefault="0049073C" w:rsidP="0049073C">
      <w:pPr>
        <w:autoSpaceDE w:val="0"/>
        <w:autoSpaceDN w:val="0"/>
        <w:adjustRightInd w:val="0"/>
        <w:rPr>
          <w:rFonts w:cs="Arial"/>
        </w:rPr>
      </w:pPr>
      <w:r>
        <w:rPr>
          <w:rFonts w:cs="Arial"/>
        </w:rPr>
        <w:t xml:space="preserve">The proposed short term NOx emission rates shown below are reflective of the reasonable application of NOx controls and representative of the capabilities of layered combustion controls or post-combustion controls in retrofit installations.  The proposed short term NOx emission rate limits account for varied EGU configurations and fuel differences. The proposed short term NOx emission rate limits include averaging periods that are necessary to support attainment and maintenance of short term air quality standards, and are expected to be sustainable over a long period provided operators follow good operating and maintenance practices. </w:t>
      </w:r>
    </w:p>
    <w:p w:rsidR="0049073C" w:rsidRDefault="0049073C" w:rsidP="0049073C">
      <w:pPr>
        <w:autoSpaceDE w:val="0"/>
        <w:autoSpaceDN w:val="0"/>
        <w:adjustRightInd w:val="0"/>
        <w:rPr>
          <w:rFonts w:cs="Arial"/>
        </w:rPr>
      </w:pPr>
      <w:r>
        <w:rPr>
          <w:rFonts w:cs="Arial"/>
        </w:rPr>
        <w:t xml:space="preserve"> </w:t>
      </w:r>
    </w:p>
    <w:p w:rsidR="0049073C" w:rsidRPr="0054246D" w:rsidRDefault="0049073C" w:rsidP="0049073C">
      <w:pPr>
        <w:autoSpaceDE w:val="0"/>
        <w:autoSpaceDN w:val="0"/>
        <w:adjustRightInd w:val="0"/>
        <w:rPr>
          <w:rFonts w:cs="Arial"/>
          <w:b/>
        </w:rPr>
      </w:pPr>
      <w:r>
        <w:rPr>
          <w:rFonts w:cs="Arial"/>
        </w:rPr>
        <w:t xml:space="preserve">If the proposed short term NOx emission rate limits are adopted by regulatory bodies (state rules, regional MOUs, potential federal rule), in addition to an expectation of general air quality improvement, the reductions would be especially effective during periods of high electric demand which often correspond to air quality episodes.  The short term NOx emission rate limits would therefore be expected to help reduce the frequency </w:t>
      </w:r>
      <w:r>
        <w:rPr>
          <w:rFonts w:cs="Arial"/>
        </w:rPr>
        <w:lastRenderedPageBreak/>
        <w:t>and magnitude of air quality episodes in the OTR.</w:t>
      </w:r>
      <w:r>
        <w:rPr>
          <w:rFonts w:cs="Arial"/>
        </w:rPr>
        <w:br w:type="page"/>
      </w:r>
      <w:r w:rsidRPr="0054246D">
        <w:rPr>
          <w:rFonts w:cs="Arial"/>
          <w:b/>
        </w:rPr>
        <w:lastRenderedPageBreak/>
        <w:t>The proposed short term NOx emission rate limits are included in the following table:</w:t>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4"/>
        <w:gridCol w:w="1620"/>
        <w:gridCol w:w="1953"/>
        <w:gridCol w:w="2160"/>
        <w:gridCol w:w="1440"/>
      </w:tblGrid>
      <w:tr w:rsidR="0049073C" w:rsidRPr="002253E5" w:rsidTr="00040F4A">
        <w:trPr>
          <w:jc w:val="center"/>
        </w:trPr>
        <w:tc>
          <w:tcPr>
            <w:tcW w:w="3474" w:type="dxa"/>
            <w:vAlign w:val="bottom"/>
          </w:tcPr>
          <w:p w:rsidR="0049073C" w:rsidRPr="002253E5" w:rsidRDefault="0049073C" w:rsidP="00040F4A">
            <w:pPr>
              <w:autoSpaceDE w:val="0"/>
              <w:autoSpaceDN w:val="0"/>
              <w:adjustRightInd w:val="0"/>
              <w:rPr>
                <w:rFonts w:cs="Arial"/>
                <w:b/>
              </w:rPr>
            </w:pPr>
            <w:r w:rsidRPr="002253E5">
              <w:rPr>
                <w:rFonts w:cs="Arial"/>
                <w:b/>
              </w:rPr>
              <w:t>Unit Type</w:t>
            </w:r>
          </w:p>
        </w:tc>
        <w:tc>
          <w:tcPr>
            <w:tcW w:w="1620" w:type="dxa"/>
            <w:vAlign w:val="bottom"/>
          </w:tcPr>
          <w:p w:rsidR="0049073C" w:rsidRPr="002253E5" w:rsidRDefault="0049073C" w:rsidP="00040F4A">
            <w:pPr>
              <w:autoSpaceDE w:val="0"/>
              <w:autoSpaceDN w:val="0"/>
              <w:adjustRightInd w:val="0"/>
              <w:rPr>
                <w:rFonts w:cs="Arial"/>
                <w:b/>
              </w:rPr>
            </w:pPr>
            <w:r w:rsidRPr="002253E5">
              <w:rPr>
                <w:rFonts w:cs="Arial"/>
                <w:b/>
              </w:rPr>
              <w:t xml:space="preserve">  Heat Input</w:t>
            </w:r>
          </w:p>
          <w:p w:rsidR="0049073C" w:rsidRPr="002253E5" w:rsidRDefault="0049073C" w:rsidP="00040F4A">
            <w:pPr>
              <w:autoSpaceDE w:val="0"/>
              <w:autoSpaceDN w:val="0"/>
              <w:adjustRightInd w:val="0"/>
              <w:rPr>
                <w:rFonts w:cs="Arial"/>
                <w:b/>
              </w:rPr>
            </w:pPr>
            <w:r w:rsidRPr="002253E5">
              <w:rPr>
                <w:rFonts w:cs="Arial"/>
                <w:b/>
              </w:rPr>
              <w:t xml:space="preserve">    Capacity</w:t>
            </w:r>
          </w:p>
          <w:p w:rsidR="0049073C" w:rsidRPr="002253E5" w:rsidRDefault="0049073C" w:rsidP="00040F4A">
            <w:pPr>
              <w:autoSpaceDE w:val="0"/>
              <w:autoSpaceDN w:val="0"/>
              <w:adjustRightInd w:val="0"/>
              <w:rPr>
                <w:rFonts w:cs="Arial"/>
                <w:b/>
              </w:rPr>
            </w:pPr>
            <w:r w:rsidRPr="002253E5">
              <w:rPr>
                <w:rFonts w:cs="Arial"/>
                <w:b/>
              </w:rPr>
              <w:t xml:space="preserve"> (</w:t>
            </w:r>
            <w:proofErr w:type="spellStart"/>
            <w:r w:rsidRPr="002253E5">
              <w:rPr>
                <w:rFonts w:cs="Arial"/>
                <w:b/>
              </w:rPr>
              <w:t>MMBtu</w:t>
            </w:r>
            <w:proofErr w:type="spellEnd"/>
            <w:r w:rsidRPr="002253E5">
              <w:rPr>
                <w:rFonts w:cs="Arial"/>
                <w:b/>
              </w:rPr>
              <w:t>/hr)</w:t>
            </w:r>
          </w:p>
        </w:tc>
        <w:tc>
          <w:tcPr>
            <w:tcW w:w="1953" w:type="dxa"/>
            <w:vAlign w:val="bottom"/>
          </w:tcPr>
          <w:p w:rsidR="0049073C" w:rsidRPr="002253E5" w:rsidRDefault="0049073C" w:rsidP="00040F4A">
            <w:pPr>
              <w:autoSpaceDE w:val="0"/>
              <w:autoSpaceDN w:val="0"/>
              <w:adjustRightInd w:val="0"/>
              <w:rPr>
                <w:rFonts w:cs="Arial"/>
                <w:b/>
              </w:rPr>
            </w:pPr>
            <w:r w:rsidRPr="002253E5">
              <w:rPr>
                <w:rFonts w:cs="Arial"/>
                <w:b/>
              </w:rPr>
              <w:t xml:space="preserve"> Configuration</w:t>
            </w:r>
          </w:p>
        </w:tc>
        <w:tc>
          <w:tcPr>
            <w:tcW w:w="2160" w:type="dxa"/>
            <w:vAlign w:val="bottom"/>
          </w:tcPr>
          <w:p w:rsidR="0049073C" w:rsidRPr="002253E5" w:rsidRDefault="0049073C" w:rsidP="00040F4A">
            <w:pPr>
              <w:autoSpaceDE w:val="0"/>
              <w:autoSpaceDN w:val="0"/>
              <w:adjustRightInd w:val="0"/>
              <w:rPr>
                <w:rFonts w:cs="Arial"/>
                <w:b/>
              </w:rPr>
            </w:pPr>
            <w:r w:rsidRPr="002253E5">
              <w:rPr>
                <w:rFonts w:cs="Arial"/>
                <w:b/>
              </w:rPr>
              <w:t xml:space="preserve">   </w:t>
            </w:r>
            <w:r>
              <w:rPr>
                <w:rFonts w:cs="Arial"/>
                <w:b/>
              </w:rPr>
              <w:t xml:space="preserve">  </w:t>
            </w:r>
            <w:r w:rsidRPr="002253E5">
              <w:rPr>
                <w:rFonts w:cs="Arial"/>
                <w:b/>
              </w:rPr>
              <w:t>NOx Limit</w:t>
            </w:r>
          </w:p>
          <w:p w:rsidR="0049073C" w:rsidRPr="002253E5" w:rsidRDefault="0049073C" w:rsidP="00040F4A">
            <w:pPr>
              <w:autoSpaceDE w:val="0"/>
              <w:autoSpaceDN w:val="0"/>
              <w:adjustRightInd w:val="0"/>
              <w:rPr>
                <w:rFonts w:cs="Arial"/>
                <w:b/>
              </w:rPr>
            </w:pPr>
            <w:r w:rsidRPr="002253E5">
              <w:rPr>
                <w:rFonts w:cs="Arial"/>
                <w:b/>
              </w:rPr>
              <w:t xml:space="preserve">  </w:t>
            </w:r>
            <w:r>
              <w:rPr>
                <w:rFonts w:cs="Arial"/>
                <w:b/>
              </w:rPr>
              <w:t xml:space="preserve">  </w:t>
            </w:r>
            <w:r w:rsidRPr="002253E5">
              <w:rPr>
                <w:rFonts w:cs="Arial"/>
                <w:b/>
              </w:rPr>
              <w:t>(lb/</w:t>
            </w:r>
            <w:proofErr w:type="spellStart"/>
            <w:r w:rsidRPr="002253E5">
              <w:rPr>
                <w:rFonts w:cs="Arial"/>
                <w:b/>
              </w:rPr>
              <w:t>MMBtu</w:t>
            </w:r>
            <w:proofErr w:type="spellEnd"/>
            <w:r w:rsidRPr="002253E5">
              <w:rPr>
                <w:rFonts w:cs="Arial"/>
                <w:b/>
              </w:rPr>
              <w:t>)</w:t>
            </w:r>
          </w:p>
        </w:tc>
        <w:tc>
          <w:tcPr>
            <w:tcW w:w="1440" w:type="dxa"/>
            <w:vAlign w:val="bottom"/>
          </w:tcPr>
          <w:p w:rsidR="0049073C" w:rsidRPr="002253E5" w:rsidRDefault="0049073C" w:rsidP="00040F4A">
            <w:pPr>
              <w:autoSpaceDE w:val="0"/>
              <w:autoSpaceDN w:val="0"/>
              <w:adjustRightInd w:val="0"/>
              <w:rPr>
                <w:rFonts w:cs="Arial"/>
                <w:b/>
              </w:rPr>
            </w:pPr>
            <w:r w:rsidRPr="002253E5">
              <w:rPr>
                <w:rFonts w:cs="Arial"/>
                <w:b/>
              </w:rPr>
              <w:t xml:space="preserve">  Averaging</w:t>
            </w:r>
          </w:p>
          <w:p w:rsidR="0049073C" w:rsidRPr="002253E5" w:rsidRDefault="0049073C" w:rsidP="00040F4A">
            <w:pPr>
              <w:autoSpaceDE w:val="0"/>
              <w:autoSpaceDN w:val="0"/>
              <w:adjustRightInd w:val="0"/>
              <w:rPr>
                <w:rFonts w:cs="Arial"/>
                <w:b/>
              </w:rPr>
            </w:pPr>
            <w:r w:rsidRPr="002253E5">
              <w:rPr>
                <w:rFonts w:cs="Arial"/>
                <w:b/>
              </w:rPr>
              <w:t xml:space="preserve">     Period</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r w:rsidRPr="002253E5">
              <w:rPr>
                <w:rFonts w:cs="Arial"/>
              </w:rPr>
              <w:t>Boiler - Solid Fuel</w:t>
            </w:r>
          </w:p>
        </w:tc>
        <w:tc>
          <w:tcPr>
            <w:tcW w:w="1620" w:type="dxa"/>
          </w:tcPr>
          <w:p w:rsidR="0049073C" w:rsidRPr="002253E5" w:rsidRDefault="0049073C" w:rsidP="00040F4A">
            <w:pPr>
              <w:autoSpaceDE w:val="0"/>
              <w:autoSpaceDN w:val="0"/>
              <w:adjustRightInd w:val="0"/>
              <w:rPr>
                <w:rFonts w:cs="Arial"/>
              </w:rPr>
            </w:pPr>
            <w:r w:rsidRPr="002253E5">
              <w:rPr>
                <w:rFonts w:cs="Arial"/>
              </w:rPr>
              <w:t xml:space="preserve">    HI </w:t>
            </w:r>
            <w:r>
              <w:t>≥</w:t>
            </w:r>
            <w:r w:rsidRPr="002253E5">
              <w:rPr>
                <w:rFonts w:cs="Arial"/>
              </w:rPr>
              <w:t xml:space="preserve"> 1000</w:t>
            </w:r>
          </w:p>
        </w:tc>
        <w:tc>
          <w:tcPr>
            <w:tcW w:w="1953" w:type="dxa"/>
            <w:vAlign w:val="center"/>
          </w:tcPr>
          <w:p w:rsidR="0049073C" w:rsidRPr="002253E5" w:rsidRDefault="0049073C" w:rsidP="00040F4A">
            <w:pPr>
              <w:autoSpaceDE w:val="0"/>
              <w:autoSpaceDN w:val="0"/>
              <w:adjustRightInd w:val="0"/>
              <w:rPr>
                <w:rFonts w:cs="Arial"/>
              </w:rPr>
            </w:pPr>
            <w:r w:rsidRPr="002253E5">
              <w:rPr>
                <w:rFonts w:cs="Arial"/>
              </w:rPr>
              <w:t xml:space="preserve">         Arch</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0.125</w:t>
            </w:r>
          </w:p>
        </w:tc>
        <w:tc>
          <w:tcPr>
            <w:tcW w:w="1440" w:type="dxa"/>
          </w:tcPr>
          <w:p w:rsidR="0049073C" w:rsidRPr="002253E5" w:rsidRDefault="0049073C" w:rsidP="00040F4A">
            <w:pPr>
              <w:autoSpaceDE w:val="0"/>
              <w:autoSpaceDN w:val="0"/>
              <w:adjustRightInd w:val="0"/>
              <w:jc w:val="center"/>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Cell</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w:t>
            </w:r>
            <w:smartTag w:uri="urn:schemas-microsoft-com:office:smarttags" w:element="stockticker">
              <w:r w:rsidRPr="002253E5">
                <w:rPr>
                  <w:rFonts w:cs="Arial"/>
                </w:rPr>
                <w:t>CFB</w:t>
              </w:r>
            </w:smartTag>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Cyclone</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w:t>
            </w:r>
            <w:r>
              <w:rPr>
                <w:rFonts w:cs="Arial"/>
              </w:rPr>
              <w:t>150</w:t>
            </w:r>
            <w:r w:rsidRPr="00762CF2">
              <w:rPr>
                <w:rFonts w:cs="Arial"/>
                <w:sz w:val="20"/>
                <w:szCs w:val="20"/>
              </w:rPr>
              <w:t>*</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Stoker</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Tangential</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Borders>
              <w:bottom w:val="single" w:sz="4" w:space="0" w:color="auto"/>
            </w:tcBorders>
          </w:tcPr>
          <w:p w:rsidR="0049073C" w:rsidRPr="002253E5" w:rsidRDefault="0049073C" w:rsidP="00040F4A">
            <w:pPr>
              <w:autoSpaceDE w:val="0"/>
              <w:autoSpaceDN w:val="0"/>
              <w:adjustRightInd w:val="0"/>
              <w:rPr>
                <w:rFonts w:cs="Arial"/>
              </w:rPr>
            </w:pPr>
          </w:p>
        </w:tc>
        <w:tc>
          <w:tcPr>
            <w:tcW w:w="1620" w:type="dxa"/>
            <w:tcBorders>
              <w:bottom w:val="single" w:sz="4" w:space="0" w:color="auto"/>
            </w:tcBorders>
          </w:tcPr>
          <w:p w:rsidR="0049073C" w:rsidRPr="002253E5" w:rsidRDefault="0049073C" w:rsidP="00040F4A">
            <w:pPr>
              <w:autoSpaceDE w:val="0"/>
              <w:autoSpaceDN w:val="0"/>
              <w:adjustRightInd w:val="0"/>
              <w:rPr>
                <w:rFonts w:cs="Arial"/>
              </w:rPr>
            </w:pPr>
          </w:p>
        </w:tc>
        <w:tc>
          <w:tcPr>
            <w:tcW w:w="1953"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Wall</w:t>
            </w:r>
          </w:p>
        </w:tc>
        <w:tc>
          <w:tcPr>
            <w:tcW w:w="216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shd w:val="clear" w:color="auto" w:fill="CCFFCC"/>
          </w:tcPr>
          <w:p w:rsidR="0049073C" w:rsidRPr="002253E5" w:rsidRDefault="0049073C" w:rsidP="00040F4A">
            <w:pPr>
              <w:autoSpaceDE w:val="0"/>
              <w:autoSpaceDN w:val="0"/>
              <w:adjustRightInd w:val="0"/>
              <w:rPr>
                <w:rFonts w:cs="Arial"/>
              </w:rPr>
            </w:pPr>
          </w:p>
        </w:tc>
        <w:tc>
          <w:tcPr>
            <w:tcW w:w="1620" w:type="dxa"/>
            <w:shd w:val="clear" w:color="auto" w:fill="CCFFCC"/>
          </w:tcPr>
          <w:p w:rsidR="0049073C" w:rsidRPr="002253E5" w:rsidRDefault="0049073C" w:rsidP="00040F4A">
            <w:pPr>
              <w:autoSpaceDE w:val="0"/>
              <w:autoSpaceDN w:val="0"/>
              <w:adjustRightInd w:val="0"/>
              <w:rPr>
                <w:rFonts w:cs="Arial"/>
              </w:rPr>
            </w:pPr>
          </w:p>
        </w:tc>
        <w:tc>
          <w:tcPr>
            <w:tcW w:w="1953" w:type="dxa"/>
            <w:shd w:val="clear" w:color="auto" w:fill="CCFFCC"/>
          </w:tcPr>
          <w:p w:rsidR="0049073C" w:rsidRPr="002253E5" w:rsidRDefault="0049073C" w:rsidP="00040F4A">
            <w:pPr>
              <w:autoSpaceDE w:val="0"/>
              <w:autoSpaceDN w:val="0"/>
              <w:adjustRightInd w:val="0"/>
              <w:rPr>
                <w:rFonts w:cs="Arial"/>
              </w:rPr>
            </w:pPr>
          </w:p>
        </w:tc>
        <w:tc>
          <w:tcPr>
            <w:tcW w:w="2160" w:type="dxa"/>
            <w:shd w:val="clear" w:color="auto" w:fill="CCFFCC"/>
          </w:tcPr>
          <w:p w:rsidR="0049073C" w:rsidRPr="002253E5" w:rsidRDefault="0049073C" w:rsidP="00040F4A">
            <w:pPr>
              <w:autoSpaceDE w:val="0"/>
              <w:autoSpaceDN w:val="0"/>
              <w:adjustRightInd w:val="0"/>
              <w:rPr>
                <w:rFonts w:cs="Arial"/>
              </w:rPr>
            </w:pPr>
          </w:p>
        </w:tc>
        <w:tc>
          <w:tcPr>
            <w:tcW w:w="1440" w:type="dxa"/>
            <w:shd w:val="clear" w:color="auto" w:fill="CCFFCC"/>
          </w:tcPr>
          <w:p w:rsidR="0049073C" w:rsidRPr="002253E5" w:rsidRDefault="0049073C" w:rsidP="00040F4A">
            <w:pPr>
              <w:autoSpaceDE w:val="0"/>
              <w:autoSpaceDN w:val="0"/>
              <w:adjustRightInd w:val="0"/>
              <w:rPr>
                <w:rFonts w:cs="Arial"/>
              </w:rPr>
            </w:pP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r w:rsidRPr="002253E5">
              <w:rPr>
                <w:rFonts w:cs="Arial"/>
              </w:rPr>
              <w:t>Boiler - Solid Fuel</w:t>
            </w:r>
          </w:p>
        </w:tc>
        <w:tc>
          <w:tcPr>
            <w:tcW w:w="1620" w:type="dxa"/>
          </w:tcPr>
          <w:p w:rsidR="0049073C" w:rsidRPr="002253E5" w:rsidRDefault="0049073C" w:rsidP="00040F4A">
            <w:pPr>
              <w:autoSpaceDE w:val="0"/>
              <w:autoSpaceDN w:val="0"/>
              <w:adjustRightInd w:val="0"/>
              <w:rPr>
                <w:rFonts w:cs="Arial"/>
              </w:rPr>
            </w:pPr>
            <w:r w:rsidRPr="002253E5">
              <w:rPr>
                <w:rFonts w:cs="Arial"/>
              </w:rPr>
              <w:t xml:space="preserve">    HI </w:t>
            </w:r>
            <w:r>
              <w:t>&lt;</w:t>
            </w:r>
            <w:r w:rsidRPr="002253E5">
              <w:rPr>
                <w:rFonts w:cs="Arial"/>
              </w:rPr>
              <w:t xml:space="preserve"> 1000</w:t>
            </w:r>
          </w:p>
        </w:tc>
        <w:tc>
          <w:tcPr>
            <w:tcW w:w="1953" w:type="dxa"/>
            <w:vAlign w:val="center"/>
          </w:tcPr>
          <w:p w:rsidR="0049073C" w:rsidRPr="002253E5" w:rsidRDefault="0049073C" w:rsidP="00040F4A">
            <w:pPr>
              <w:autoSpaceDE w:val="0"/>
              <w:autoSpaceDN w:val="0"/>
              <w:adjustRightInd w:val="0"/>
              <w:rPr>
                <w:rFonts w:cs="Arial"/>
              </w:rPr>
            </w:pPr>
            <w:r w:rsidRPr="002253E5">
              <w:rPr>
                <w:rFonts w:cs="Arial"/>
              </w:rPr>
              <w:t xml:space="preserve">         Arch</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Cell</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w:t>
            </w:r>
            <w:smartTag w:uri="urn:schemas-microsoft-com:office:smarttags" w:element="stockticker">
              <w:r w:rsidRPr="002253E5">
                <w:rPr>
                  <w:rFonts w:cs="Arial"/>
                </w:rPr>
                <w:t>CFB</w:t>
              </w:r>
            </w:smartTag>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0.125</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Cyclone</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w:t>
            </w:r>
            <w:r>
              <w:rPr>
                <w:rFonts w:cs="Arial"/>
              </w:rPr>
              <w:t>150</w:t>
            </w:r>
            <w:r w:rsidRPr="00762CF2">
              <w:rPr>
                <w:rFonts w:cs="Arial"/>
                <w:sz w:val="20"/>
                <w:szCs w:val="20"/>
              </w:rPr>
              <w:t>*</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Stoker</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Pr>
          <w:p w:rsidR="0049073C" w:rsidRPr="002253E5" w:rsidRDefault="0049073C" w:rsidP="00040F4A">
            <w:pPr>
              <w:autoSpaceDE w:val="0"/>
              <w:autoSpaceDN w:val="0"/>
              <w:adjustRightInd w:val="0"/>
              <w:rPr>
                <w:rFonts w:cs="Arial"/>
              </w:rPr>
            </w:pPr>
          </w:p>
        </w:tc>
        <w:tc>
          <w:tcPr>
            <w:tcW w:w="1620" w:type="dxa"/>
          </w:tcPr>
          <w:p w:rsidR="0049073C" w:rsidRPr="002253E5" w:rsidRDefault="0049073C" w:rsidP="00040F4A">
            <w:pPr>
              <w:autoSpaceDE w:val="0"/>
              <w:autoSpaceDN w:val="0"/>
              <w:adjustRightInd w:val="0"/>
              <w:rPr>
                <w:rFonts w:cs="Arial"/>
              </w:rPr>
            </w:pPr>
          </w:p>
        </w:tc>
        <w:tc>
          <w:tcPr>
            <w:tcW w:w="1953" w:type="dxa"/>
          </w:tcPr>
          <w:p w:rsidR="0049073C" w:rsidRPr="002253E5" w:rsidRDefault="0049073C" w:rsidP="00040F4A">
            <w:pPr>
              <w:autoSpaceDE w:val="0"/>
              <w:autoSpaceDN w:val="0"/>
              <w:adjustRightInd w:val="0"/>
              <w:rPr>
                <w:rFonts w:cs="Arial"/>
              </w:rPr>
            </w:pPr>
            <w:r w:rsidRPr="002253E5">
              <w:rPr>
                <w:rFonts w:cs="Arial"/>
              </w:rPr>
              <w:t xml:space="preserve">    Tangential</w:t>
            </w:r>
          </w:p>
        </w:tc>
        <w:tc>
          <w:tcPr>
            <w:tcW w:w="2160" w:type="dxa"/>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tcBorders>
              <w:bottom w:val="single" w:sz="4" w:space="0" w:color="auto"/>
            </w:tcBorders>
          </w:tcPr>
          <w:p w:rsidR="0049073C" w:rsidRPr="002253E5" w:rsidRDefault="0049073C" w:rsidP="00040F4A">
            <w:pPr>
              <w:autoSpaceDE w:val="0"/>
              <w:autoSpaceDN w:val="0"/>
              <w:adjustRightInd w:val="0"/>
              <w:rPr>
                <w:rFonts w:cs="Arial"/>
              </w:rPr>
            </w:pPr>
          </w:p>
        </w:tc>
        <w:tc>
          <w:tcPr>
            <w:tcW w:w="1620" w:type="dxa"/>
            <w:tcBorders>
              <w:bottom w:val="single" w:sz="4" w:space="0" w:color="auto"/>
            </w:tcBorders>
          </w:tcPr>
          <w:p w:rsidR="0049073C" w:rsidRPr="002253E5" w:rsidRDefault="0049073C" w:rsidP="00040F4A">
            <w:pPr>
              <w:autoSpaceDE w:val="0"/>
              <w:autoSpaceDN w:val="0"/>
              <w:adjustRightInd w:val="0"/>
              <w:rPr>
                <w:rFonts w:cs="Arial"/>
              </w:rPr>
            </w:pPr>
          </w:p>
        </w:tc>
        <w:tc>
          <w:tcPr>
            <w:tcW w:w="1953"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Wall</w:t>
            </w:r>
          </w:p>
        </w:tc>
        <w:tc>
          <w:tcPr>
            <w:tcW w:w="216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shd w:val="clear" w:color="auto" w:fill="CCFFCC"/>
          </w:tcPr>
          <w:p w:rsidR="0049073C" w:rsidRPr="002253E5" w:rsidRDefault="0049073C" w:rsidP="00040F4A">
            <w:pPr>
              <w:autoSpaceDE w:val="0"/>
              <w:autoSpaceDN w:val="0"/>
              <w:adjustRightInd w:val="0"/>
              <w:rPr>
                <w:rFonts w:cs="Arial"/>
              </w:rPr>
            </w:pPr>
          </w:p>
        </w:tc>
        <w:tc>
          <w:tcPr>
            <w:tcW w:w="1620" w:type="dxa"/>
            <w:shd w:val="clear" w:color="auto" w:fill="CCFFCC"/>
          </w:tcPr>
          <w:p w:rsidR="0049073C" w:rsidRPr="002253E5" w:rsidRDefault="0049073C" w:rsidP="00040F4A">
            <w:pPr>
              <w:autoSpaceDE w:val="0"/>
              <w:autoSpaceDN w:val="0"/>
              <w:adjustRightInd w:val="0"/>
              <w:rPr>
                <w:rFonts w:cs="Arial"/>
              </w:rPr>
            </w:pPr>
          </w:p>
        </w:tc>
        <w:tc>
          <w:tcPr>
            <w:tcW w:w="1953" w:type="dxa"/>
            <w:shd w:val="clear" w:color="auto" w:fill="CCFFCC"/>
          </w:tcPr>
          <w:p w:rsidR="0049073C" w:rsidRPr="002253E5" w:rsidRDefault="0049073C" w:rsidP="00040F4A">
            <w:pPr>
              <w:autoSpaceDE w:val="0"/>
              <w:autoSpaceDN w:val="0"/>
              <w:adjustRightInd w:val="0"/>
              <w:rPr>
                <w:rFonts w:cs="Arial"/>
              </w:rPr>
            </w:pPr>
          </w:p>
        </w:tc>
        <w:tc>
          <w:tcPr>
            <w:tcW w:w="2160" w:type="dxa"/>
            <w:shd w:val="clear" w:color="auto" w:fill="CCFFCC"/>
          </w:tcPr>
          <w:p w:rsidR="0049073C" w:rsidRPr="002253E5" w:rsidRDefault="0049073C" w:rsidP="00040F4A">
            <w:pPr>
              <w:autoSpaceDE w:val="0"/>
              <w:autoSpaceDN w:val="0"/>
              <w:adjustRightInd w:val="0"/>
              <w:rPr>
                <w:rFonts w:cs="Arial"/>
              </w:rPr>
            </w:pPr>
          </w:p>
        </w:tc>
        <w:tc>
          <w:tcPr>
            <w:tcW w:w="1440" w:type="dxa"/>
            <w:shd w:val="clear" w:color="auto" w:fill="CCFFCC"/>
          </w:tcPr>
          <w:p w:rsidR="0049073C" w:rsidRPr="002253E5" w:rsidRDefault="0049073C" w:rsidP="00040F4A">
            <w:pPr>
              <w:autoSpaceDE w:val="0"/>
              <w:autoSpaceDN w:val="0"/>
              <w:adjustRightInd w:val="0"/>
              <w:rPr>
                <w:rFonts w:cs="Arial"/>
              </w:rPr>
            </w:pPr>
          </w:p>
        </w:tc>
      </w:tr>
      <w:tr w:rsidR="0049073C" w:rsidRPr="002253E5" w:rsidTr="00040F4A">
        <w:trPr>
          <w:jc w:val="center"/>
        </w:trPr>
        <w:tc>
          <w:tcPr>
            <w:tcW w:w="3474"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Boiler - Gas Fuel</w:t>
            </w:r>
          </w:p>
        </w:tc>
        <w:tc>
          <w:tcPr>
            <w:tcW w:w="162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All</w:t>
            </w:r>
          </w:p>
        </w:tc>
        <w:tc>
          <w:tcPr>
            <w:tcW w:w="1953"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All</w:t>
            </w:r>
          </w:p>
        </w:tc>
        <w:tc>
          <w:tcPr>
            <w:tcW w:w="216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shd w:val="clear" w:color="auto" w:fill="CCFFCC"/>
          </w:tcPr>
          <w:p w:rsidR="0049073C" w:rsidRPr="002253E5" w:rsidRDefault="0049073C" w:rsidP="00040F4A">
            <w:pPr>
              <w:autoSpaceDE w:val="0"/>
              <w:autoSpaceDN w:val="0"/>
              <w:adjustRightInd w:val="0"/>
              <w:rPr>
                <w:rFonts w:cs="Arial"/>
              </w:rPr>
            </w:pPr>
          </w:p>
        </w:tc>
        <w:tc>
          <w:tcPr>
            <w:tcW w:w="1620" w:type="dxa"/>
            <w:shd w:val="clear" w:color="auto" w:fill="CCFFCC"/>
          </w:tcPr>
          <w:p w:rsidR="0049073C" w:rsidRPr="002253E5" w:rsidRDefault="0049073C" w:rsidP="00040F4A">
            <w:pPr>
              <w:autoSpaceDE w:val="0"/>
              <w:autoSpaceDN w:val="0"/>
              <w:adjustRightInd w:val="0"/>
              <w:rPr>
                <w:rFonts w:cs="Arial"/>
              </w:rPr>
            </w:pPr>
          </w:p>
        </w:tc>
        <w:tc>
          <w:tcPr>
            <w:tcW w:w="1953" w:type="dxa"/>
            <w:shd w:val="clear" w:color="auto" w:fill="CCFFCC"/>
          </w:tcPr>
          <w:p w:rsidR="0049073C" w:rsidRPr="002253E5" w:rsidRDefault="0049073C" w:rsidP="00040F4A">
            <w:pPr>
              <w:autoSpaceDE w:val="0"/>
              <w:autoSpaceDN w:val="0"/>
              <w:adjustRightInd w:val="0"/>
              <w:rPr>
                <w:rFonts w:cs="Arial"/>
              </w:rPr>
            </w:pPr>
          </w:p>
        </w:tc>
        <w:tc>
          <w:tcPr>
            <w:tcW w:w="2160" w:type="dxa"/>
            <w:shd w:val="clear" w:color="auto" w:fill="CCFFCC"/>
          </w:tcPr>
          <w:p w:rsidR="0049073C" w:rsidRPr="002253E5" w:rsidRDefault="0049073C" w:rsidP="00040F4A">
            <w:pPr>
              <w:autoSpaceDE w:val="0"/>
              <w:autoSpaceDN w:val="0"/>
              <w:adjustRightInd w:val="0"/>
              <w:rPr>
                <w:rFonts w:cs="Arial"/>
              </w:rPr>
            </w:pPr>
          </w:p>
        </w:tc>
        <w:tc>
          <w:tcPr>
            <w:tcW w:w="1440" w:type="dxa"/>
            <w:shd w:val="clear" w:color="auto" w:fill="CCFFCC"/>
          </w:tcPr>
          <w:p w:rsidR="0049073C" w:rsidRPr="002253E5" w:rsidRDefault="0049073C" w:rsidP="00040F4A">
            <w:pPr>
              <w:autoSpaceDE w:val="0"/>
              <w:autoSpaceDN w:val="0"/>
              <w:adjustRightInd w:val="0"/>
              <w:rPr>
                <w:rFonts w:cs="Arial"/>
              </w:rPr>
            </w:pPr>
          </w:p>
        </w:tc>
      </w:tr>
      <w:tr w:rsidR="0049073C" w:rsidRPr="002253E5" w:rsidTr="00040F4A">
        <w:trPr>
          <w:jc w:val="center"/>
        </w:trPr>
        <w:tc>
          <w:tcPr>
            <w:tcW w:w="3474"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Boiler - Distillate Oil Fuel</w:t>
            </w:r>
          </w:p>
        </w:tc>
        <w:tc>
          <w:tcPr>
            <w:tcW w:w="162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All</w:t>
            </w:r>
          </w:p>
        </w:tc>
        <w:tc>
          <w:tcPr>
            <w:tcW w:w="1953"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All</w:t>
            </w:r>
          </w:p>
        </w:tc>
        <w:tc>
          <w:tcPr>
            <w:tcW w:w="216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shd w:val="clear" w:color="auto" w:fill="CCFFCC"/>
          </w:tcPr>
          <w:p w:rsidR="0049073C" w:rsidRPr="002253E5" w:rsidRDefault="0049073C" w:rsidP="00040F4A">
            <w:pPr>
              <w:autoSpaceDE w:val="0"/>
              <w:autoSpaceDN w:val="0"/>
              <w:adjustRightInd w:val="0"/>
              <w:rPr>
                <w:rFonts w:cs="Arial"/>
              </w:rPr>
            </w:pPr>
          </w:p>
        </w:tc>
        <w:tc>
          <w:tcPr>
            <w:tcW w:w="1620" w:type="dxa"/>
            <w:shd w:val="clear" w:color="auto" w:fill="CCFFCC"/>
          </w:tcPr>
          <w:p w:rsidR="0049073C" w:rsidRPr="002253E5" w:rsidRDefault="0049073C" w:rsidP="00040F4A">
            <w:pPr>
              <w:autoSpaceDE w:val="0"/>
              <w:autoSpaceDN w:val="0"/>
              <w:adjustRightInd w:val="0"/>
              <w:rPr>
                <w:rFonts w:cs="Arial"/>
              </w:rPr>
            </w:pPr>
          </w:p>
        </w:tc>
        <w:tc>
          <w:tcPr>
            <w:tcW w:w="1953" w:type="dxa"/>
            <w:shd w:val="clear" w:color="auto" w:fill="CCFFCC"/>
          </w:tcPr>
          <w:p w:rsidR="0049073C" w:rsidRPr="002253E5" w:rsidRDefault="0049073C" w:rsidP="00040F4A">
            <w:pPr>
              <w:autoSpaceDE w:val="0"/>
              <w:autoSpaceDN w:val="0"/>
              <w:adjustRightInd w:val="0"/>
              <w:rPr>
                <w:rFonts w:cs="Arial"/>
              </w:rPr>
            </w:pPr>
          </w:p>
        </w:tc>
        <w:tc>
          <w:tcPr>
            <w:tcW w:w="2160" w:type="dxa"/>
            <w:shd w:val="clear" w:color="auto" w:fill="CCFFCC"/>
          </w:tcPr>
          <w:p w:rsidR="0049073C" w:rsidRPr="002253E5" w:rsidRDefault="0049073C" w:rsidP="00040F4A">
            <w:pPr>
              <w:autoSpaceDE w:val="0"/>
              <w:autoSpaceDN w:val="0"/>
              <w:adjustRightInd w:val="0"/>
              <w:rPr>
                <w:rFonts w:cs="Arial"/>
              </w:rPr>
            </w:pPr>
          </w:p>
        </w:tc>
        <w:tc>
          <w:tcPr>
            <w:tcW w:w="1440" w:type="dxa"/>
            <w:shd w:val="clear" w:color="auto" w:fill="CCFFCC"/>
          </w:tcPr>
          <w:p w:rsidR="0049073C" w:rsidRPr="002253E5" w:rsidRDefault="0049073C" w:rsidP="00040F4A">
            <w:pPr>
              <w:autoSpaceDE w:val="0"/>
              <w:autoSpaceDN w:val="0"/>
              <w:adjustRightInd w:val="0"/>
              <w:rPr>
                <w:rFonts w:cs="Arial"/>
              </w:rPr>
            </w:pPr>
          </w:p>
        </w:tc>
      </w:tr>
      <w:tr w:rsidR="0049073C" w:rsidRPr="002253E5" w:rsidTr="00040F4A">
        <w:trPr>
          <w:jc w:val="center"/>
        </w:trPr>
        <w:tc>
          <w:tcPr>
            <w:tcW w:w="3474"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Boiler - Residual Oil Fuel</w:t>
            </w:r>
          </w:p>
        </w:tc>
        <w:tc>
          <w:tcPr>
            <w:tcW w:w="162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All</w:t>
            </w:r>
          </w:p>
        </w:tc>
        <w:tc>
          <w:tcPr>
            <w:tcW w:w="1953"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All</w:t>
            </w:r>
          </w:p>
        </w:tc>
        <w:tc>
          <w:tcPr>
            <w:tcW w:w="216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Borders>
              <w:bottom w:val="single" w:sz="4" w:space="0" w:color="auto"/>
            </w:tcBorders>
          </w:tcPr>
          <w:p w:rsidR="0049073C" w:rsidRPr="002253E5" w:rsidRDefault="0049073C" w:rsidP="00040F4A">
            <w:pPr>
              <w:autoSpaceDE w:val="0"/>
              <w:autoSpaceDN w:val="0"/>
              <w:adjustRightInd w:val="0"/>
              <w:rPr>
                <w:rFonts w:cs="Arial"/>
              </w:rPr>
            </w:pPr>
            <w:r w:rsidRPr="002253E5">
              <w:rPr>
                <w:rFonts w:cs="Arial"/>
              </w:rPr>
              <w:t xml:space="preserve">    24-hours</w:t>
            </w:r>
          </w:p>
        </w:tc>
      </w:tr>
      <w:tr w:rsidR="0049073C" w:rsidRPr="002253E5" w:rsidTr="00040F4A">
        <w:trPr>
          <w:jc w:val="center"/>
        </w:trPr>
        <w:tc>
          <w:tcPr>
            <w:tcW w:w="3474" w:type="dxa"/>
            <w:shd w:val="clear" w:color="auto" w:fill="CCFFCC"/>
          </w:tcPr>
          <w:p w:rsidR="0049073C" w:rsidRPr="002253E5" w:rsidRDefault="0049073C" w:rsidP="00040F4A">
            <w:pPr>
              <w:autoSpaceDE w:val="0"/>
              <w:autoSpaceDN w:val="0"/>
              <w:adjustRightInd w:val="0"/>
              <w:rPr>
                <w:rFonts w:cs="Arial"/>
              </w:rPr>
            </w:pPr>
          </w:p>
        </w:tc>
        <w:tc>
          <w:tcPr>
            <w:tcW w:w="1620" w:type="dxa"/>
            <w:shd w:val="clear" w:color="auto" w:fill="CCFFCC"/>
          </w:tcPr>
          <w:p w:rsidR="0049073C" w:rsidRPr="002253E5" w:rsidRDefault="0049073C" w:rsidP="00040F4A">
            <w:pPr>
              <w:autoSpaceDE w:val="0"/>
              <w:autoSpaceDN w:val="0"/>
              <w:adjustRightInd w:val="0"/>
              <w:rPr>
                <w:rFonts w:cs="Arial"/>
              </w:rPr>
            </w:pPr>
          </w:p>
        </w:tc>
        <w:tc>
          <w:tcPr>
            <w:tcW w:w="1953" w:type="dxa"/>
            <w:shd w:val="clear" w:color="auto" w:fill="CCFFCC"/>
          </w:tcPr>
          <w:p w:rsidR="0049073C" w:rsidRPr="002253E5" w:rsidRDefault="0049073C" w:rsidP="00040F4A">
            <w:pPr>
              <w:autoSpaceDE w:val="0"/>
              <w:autoSpaceDN w:val="0"/>
              <w:adjustRightInd w:val="0"/>
              <w:rPr>
                <w:rFonts w:cs="Arial"/>
              </w:rPr>
            </w:pPr>
          </w:p>
        </w:tc>
        <w:tc>
          <w:tcPr>
            <w:tcW w:w="2160" w:type="dxa"/>
            <w:shd w:val="clear" w:color="auto" w:fill="CCFFCC"/>
          </w:tcPr>
          <w:p w:rsidR="0049073C" w:rsidRPr="002253E5" w:rsidRDefault="0049073C" w:rsidP="00040F4A">
            <w:pPr>
              <w:autoSpaceDE w:val="0"/>
              <w:autoSpaceDN w:val="0"/>
              <w:adjustRightInd w:val="0"/>
              <w:rPr>
                <w:rFonts w:cs="Arial"/>
              </w:rPr>
            </w:pPr>
          </w:p>
        </w:tc>
        <w:tc>
          <w:tcPr>
            <w:tcW w:w="1440" w:type="dxa"/>
            <w:shd w:val="clear" w:color="auto" w:fill="CCFFCC"/>
          </w:tcPr>
          <w:p w:rsidR="0049073C" w:rsidRPr="002253E5" w:rsidRDefault="0049073C" w:rsidP="00040F4A">
            <w:pPr>
              <w:autoSpaceDE w:val="0"/>
              <w:autoSpaceDN w:val="0"/>
              <w:adjustRightInd w:val="0"/>
              <w:rPr>
                <w:rFonts w:cs="Arial"/>
              </w:rPr>
            </w:pPr>
          </w:p>
        </w:tc>
      </w:tr>
      <w:tr w:rsidR="0049073C" w:rsidRPr="002253E5" w:rsidTr="00040F4A">
        <w:trPr>
          <w:jc w:val="center"/>
        </w:trPr>
        <w:tc>
          <w:tcPr>
            <w:tcW w:w="3474" w:type="dxa"/>
            <w:vMerge w:val="restart"/>
          </w:tcPr>
          <w:p w:rsidR="0049073C" w:rsidRDefault="0049073C" w:rsidP="00040F4A">
            <w:pPr>
              <w:autoSpaceDE w:val="0"/>
              <w:autoSpaceDN w:val="0"/>
              <w:adjustRightInd w:val="0"/>
              <w:rPr>
                <w:rFonts w:cs="Arial"/>
              </w:rPr>
            </w:pPr>
          </w:p>
          <w:p w:rsidR="0049073C" w:rsidRDefault="0049073C" w:rsidP="00040F4A">
            <w:pPr>
              <w:autoSpaceDE w:val="0"/>
              <w:autoSpaceDN w:val="0"/>
              <w:adjustRightInd w:val="0"/>
              <w:rPr>
                <w:rFonts w:cs="Arial"/>
              </w:rPr>
            </w:pPr>
          </w:p>
          <w:p w:rsidR="0049073C" w:rsidRDefault="0049073C" w:rsidP="00040F4A">
            <w:pPr>
              <w:autoSpaceDE w:val="0"/>
              <w:autoSpaceDN w:val="0"/>
              <w:adjustRightInd w:val="0"/>
              <w:rPr>
                <w:rFonts w:cs="Arial"/>
              </w:rPr>
            </w:pPr>
          </w:p>
          <w:p w:rsidR="0049073C" w:rsidRPr="002253E5" w:rsidRDefault="0049073C" w:rsidP="00040F4A">
            <w:pPr>
              <w:autoSpaceDE w:val="0"/>
              <w:autoSpaceDN w:val="0"/>
              <w:adjustRightInd w:val="0"/>
              <w:rPr>
                <w:rFonts w:cs="Arial"/>
              </w:rPr>
            </w:pPr>
            <w:r w:rsidRPr="002253E5">
              <w:rPr>
                <w:rFonts w:cs="Arial"/>
              </w:rPr>
              <w:t>Combustion Turbine - Gas Fuel</w:t>
            </w:r>
          </w:p>
        </w:tc>
        <w:tc>
          <w:tcPr>
            <w:tcW w:w="1620" w:type="dxa"/>
            <w:vMerge w:val="restart"/>
          </w:tcPr>
          <w:p w:rsidR="0049073C" w:rsidRDefault="0049073C" w:rsidP="00040F4A">
            <w:pPr>
              <w:autoSpaceDE w:val="0"/>
              <w:autoSpaceDN w:val="0"/>
              <w:adjustRightInd w:val="0"/>
              <w:rPr>
                <w:rFonts w:cs="Arial"/>
              </w:rPr>
            </w:pPr>
            <w:r w:rsidRPr="002253E5">
              <w:rPr>
                <w:rFonts w:cs="Arial"/>
              </w:rPr>
              <w:t xml:space="preserve">         </w:t>
            </w:r>
          </w:p>
          <w:p w:rsidR="0049073C" w:rsidRDefault="0049073C" w:rsidP="00040F4A">
            <w:pPr>
              <w:autoSpaceDE w:val="0"/>
              <w:autoSpaceDN w:val="0"/>
              <w:adjustRightInd w:val="0"/>
              <w:rPr>
                <w:rFonts w:cs="Arial"/>
              </w:rPr>
            </w:pPr>
          </w:p>
          <w:p w:rsidR="0049073C" w:rsidRDefault="0049073C" w:rsidP="00040F4A">
            <w:pPr>
              <w:autoSpaceDE w:val="0"/>
              <w:autoSpaceDN w:val="0"/>
              <w:adjustRightInd w:val="0"/>
              <w:rPr>
                <w:rFonts w:cs="Arial"/>
              </w:rPr>
            </w:pPr>
          </w:p>
          <w:p w:rsidR="0049073C" w:rsidRPr="002253E5" w:rsidRDefault="0049073C" w:rsidP="00040F4A">
            <w:pPr>
              <w:autoSpaceDE w:val="0"/>
              <w:autoSpaceDN w:val="0"/>
              <w:adjustRightInd w:val="0"/>
              <w:rPr>
                <w:rFonts w:cs="Arial"/>
              </w:rPr>
            </w:pPr>
            <w:r>
              <w:rPr>
                <w:rFonts w:cs="Arial"/>
              </w:rPr>
              <w:t xml:space="preserve">         </w:t>
            </w:r>
            <w:r w:rsidRPr="002253E5">
              <w:rPr>
                <w:rFonts w:cs="Arial"/>
              </w:rPr>
              <w:t>All</w:t>
            </w:r>
          </w:p>
        </w:tc>
        <w:tc>
          <w:tcPr>
            <w:tcW w:w="1953" w:type="dxa"/>
            <w:vMerge w:val="restart"/>
          </w:tcPr>
          <w:p w:rsidR="0049073C" w:rsidRPr="002253E5" w:rsidRDefault="0049073C" w:rsidP="00040F4A">
            <w:pPr>
              <w:autoSpaceDE w:val="0"/>
              <w:autoSpaceDN w:val="0"/>
              <w:adjustRightInd w:val="0"/>
              <w:rPr>
                <w:rFonts w:cs="Arial"/>
              </w:rPr>
            </w:pPr>
            <w:r w:rsidRPr="002253E5">
              <w:rPr>
                <w:rFonts w:cs="Arial"/>
              </w:rPr>
              <w:t xml:space="preserve"> </w:t>
            </w:r>
          </w:p>
          <w:p w:rsidR="0049073C" w:rsidRPr="002253E5" w:rsidRDefault="0049073C" w:rsidP="00040F4A">
            <w:pPr>
              <w:autoSpaceDE w:val="0"/>
              <w:autoSpaceDN w:val="0"/>
              <w:adjustRightInd w:val="0"/>
              <w:rPr>
                <w:rFonts w:cs="Arial"/>
              </w:rPr>
            </w:pPr>
            <w:r>
              <w:rPr>
                <w:rFonts w:cs="Arial"/>
              </w:rPr>
              <w:t xml:space="preserve">    Simple Cycle</w:t>
            </w:r>
          </w:p>
        </w:tc>
        <w:tc>
          <w:tcPr>
            <w:tcW w:w="2160" w:type="dxa"/>
          </w:tcPr>
          <w:p w:rsidR="0049073C" w:rsidRPr="002253E5" w:rsidRDefault="0049073C" w:rsidP="00040F4A">
            <w:pPr>
              <w:autoSpaceDE w:val="0"/>
              <w:autoSpaceDN w:val="0"/>
              <w:adjustRightInd w:val="0"/>
              <w:rPr>
                <w:rFonts w:cs="Arial"/>
                <w:sz w:val="20"/>
                <w:szCs w:val="20"/>
              </w:rPr>
            </w:pPr>
            <w:r>
              <w:rPr>
                <w:rFonts w:cs="Arial"/>
                <w:sz w:val="20"/>
                <w:szCs w:val="20"/>
              </w:rPr>
              <w:t xml:space="preserve"> </w:t>
            </w:r>
            <w:r w:rsidRPr="002253E5">
              <w:rPr>
                <w:rFonts w:cs="Arial"/>
                <w:sz w:val="20"/>
                <w:szCs w:val="20"/>
              </w:rPr>
              <w:t xml:space="preserve"> </w:t>
            </w:r>
            <w:r>
              <w:rPr>
                <w:rFonts w:cs="Arial"/>
                <w:sz w:val="20"/>
                <w:szCs w:val="20"/>
              </w:rPr>
              <w:t xml:space="preserve">25 </w:t>
            </w:r>
            <w:r w:rsidRPr="002253E5">
              <w:rPr>
                <w:rFonts w:cs="Arial"/>
                <w:sz w:val="20"/>
                <w:szCs w:val="20"/>
              </w:rPr>
              <w:t>ppmvd@15%O2</w:t>
            </w:r>
            <w:r>
              <w:rPr>
                <w:rFonts w:cs="Arial"/>
                <w:sz w:val="20"/>
                <w:szCs w:val="20"/>
              </w:rPr>
              <w:t>*</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tcPr>
          <w:p w:rsidR="0049073C" w:rsidRDefault="0049073C" w:rsidP="00040F4A">
            <w:pPr>
              <w:autoSpaceDE w:val="0"/>
              <w:autoSpaceDN w:val="0"/>
              <w:adjustRightInd w:val="0"/>
              <w:rPr>
                <w:rFonts w:cs="Arial"/>
              </w:rPr>
            </w:pPr>
          </w:p>
        </w:tc>
        <w:tc>
          <w:tcPr>
            <w:tcW w:w="2160" w:type="dxa"/>
          </w:tcPr>
          <w:p w:rsidR="0049073C" w:rsidRDefault="0049073C" w:rsidP="00040F4A">
            <w:pPr>
              <w:autoSpaceDE w:val="0"/>
              <w:autoSpaceDN w:val="0"/>
              <w:adjustRightInd w:val="0"/>
              <w:rPr>
                <w:rFonts w:cs="Arial"/>
                <w:sz w:val="20"/>
                <w:szCs w:val="20"/>
              </w:rPr>
            </w:pPr>
            <w:r>
              <w:rPr>
                <w:rFonts w:cs="Arial"/>
                <w:sz w:val="20"/>
                <w:szCs w:val="20"/>
              </w:rPr>
              <w:t xml:space="preserve">      0.10 lb/</w:t>
            </w:r>
            <w:proofErr w:type="spellStart"/>
            <w:r>
              <w:rPr>
                <w:rFonts w:cs="Arial"/>
                <w:sz w:val="20"/>
                <w:szCs w:val="20"/>
              </w:rPr>
              <w:t>MMBtu</w:t>
            </w:r>
            <w:proofErr w:type="spellEnd"/>
          </w:p>
        </w:tc>
        <w:tc>
          <w:tcPr>
            <w:tcW w:w="1440" w:type="dxa"/>
          </w:tcPr>
          <w:p w:rsidR="0049073C" w:rsidRDefault="0049073C" w:rsidP="00040F4A">
            <w:pPr>
              <w:autoSpaceDE w:val="0"/>
              <w:autoSpaceDN w:val="0"/>
              <w:adjustRightInd w:val="0"/>
              <w:rPr>
                <w:rFonts w:cs="Arial"/>
              </w:rPr>
            </w:pPr>
            <w:r>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tcPr>
          <w:p w:rsidR="0049073C" w:rsidRPr="002253E5" w:rsidRDefault="0049073C" w:rsidP="00040F4A">
            <w:pPr>
              <w:autoSpaceDE w:val="0"/>
              <w:autoSpaceDN w:val="0"/>
              <w:adjustRightInd w:val="0"/>
              <w:rPr>
                <w:rFonts w:cs="Arial"/>
              </w:rPr>
            </w:pPr>
          </w:p>
        </w:tc>
        <w:tc>
          <w:tcPr>
            <w:tcW w:w="2160" w:type="dxa"/>
          </w:tcPr>
          <w:p w:rsidR="0049073C" w:rsidRPr="002253E5" w:rsidRDefault="0049073C" w:rsidP="00040F4A">
            <w:pPr>
              <w:autoSpaceDE w:val="0"/>
              <w:autoSpaceDN w:val="0"/>
              <w:adjustRightInd w:val="0"/>
              <w:rPr>
                <w:rFonts w:cs="Arial"/>
                <w:sz w:val="20"/>
                <w:szCs w:val="20"/>
              </w:rPr>
            </w:pPr>
            <w:r>
              <w:rPr>
                <w:rFonts w:cs="Arial"/>
                <w:sz w:val="20"/>
                <w:szCs w:val="20"/>
              </w:rPr>
              <w:t xml:space="preserve">       1.0 lb./</w:t>
            </w:r>
            <w:proofErr w:type="spellStart"/>
            <w:r>
              <w:rPr>
                <w:rFonts w:cs="Arial"/>
                <w:sz w:val="20"/>
                <w:szCs w:val="20"/>
              </w:rPr>
              <w:t>MWh</w:t>
            </w:r>
            <w:proofErr w:type="spellEnd"/>
            <w:r>
              <w:rPr>
                <w:rFonts w:cs="Arial"/>
                <w:sz w:val="20"/>
                <w:szCs w:val="20"/>
              </w:rPr>
              <w:t>**</w:t>
            </w:r>
          </w:p>
        </w:tc>
        <w:tc>
          <w:tcPr>
            <w:tcW w:w="1440" w:type="dxa"/>
          </w:tcPr>
          <w:p w:rsidR="0049073C" w:rsidRPr="002253E5" w:rsidRDefault="0049073C" w:rsidP="00040F4A">
            <w:pPr>
              <w:autoSpaceDE w:val="0"/>
              <w:autoSpaceDN w:val="0"/>
              <w:adjustRightInd w:val="0"/>
              <w:rPr>
                <w:rFonts w:cs="Arial"/>
              </w:rPr>
            </w:pPr>
            <w:r>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val="restart"/>
          </w:tcPr>
          <w:p w:rsidR="0049073C" w:rsidRDefault="0049073C" w:rsidP="00040F4A">
            <w:pPr>
              <w:autoSpaceDE w:val="0"/>
              <w:autoSpaceDN w:val="0"/>
              <w:adjustRightInd w:val="0"/>
              <w:rPr>
                <w:rFonts w:cs="Arial"/>
              </w:rPr>
            </w:pPr>
          </w:p>
          <w:p w:rsidR="0049073C" w:rsidRPr="002253E5" w:rsidRDefault="0049073C" w:rsidP="00040F4A">
            <w:pPr>
              <w:autoSpaceDE w:val="0"/>
              <w:autoSpaceDN w:val="0"/>
              <w:adjustRightInd w:val="0"/>
              <w:rPr>
                <w:rFonts w:cs="Arial"/>
              </w:rPr>
            </w:pPr>
            <w:r>
              <w:rPr>
                <w:rFonts w:cs="Arial"/>
              </w:rPr>
              <w:t>Combined Cycle</w:t>
            </w:r>
          </w:p>
        </w:tc>
        <w:tc>
          <w:tcPr>
            <w:tcW w:w="2160" w:type="dxa"/>
          </w:tcPr>
          <w:p w:rsidR="0049073C" w:rsidRPr="002253E5" w:rsidRDefault="0049073C" w:rsidP="00040F4A">
            <w:pPr>
              <w:autoSpaceDE w:val="0"/>
              <w:autoSpaceDN w:val="0"/>
              <w:adjustRightInd w:val="0"/>
              <w:rPr>
                <w:rFonts w:cs="Arial"/>
              </w:rPr>
            </w:pPr>
            <w:r w:rsidRPr="002253E5">
              <w:rPr>
                <w:rFonts w:cs="Arial"/>
                <w:sz w:val="20"/>
                <w:szCs w:val="20"/>
              </w:rPr>
              <w:t xml:space="preserve"> </w:t>
            </w:r>
            <w:r>
              <w:rPr>
                <w:rFonts w:cs="Arial"/>
                <w:sz w:val="20"/>
                <w:szCs w:val="20"/>
              </w:rPr>
              <w:t xml:space="preserve"> 25</w:t>
            </w:r>
            <w:r w:rsidRPr="002253E5">
              <w:rPr>
                <w:rFonts w:cs="Arial"/>
                <w:sz w:val="20"/>
                <w:szCs w:val="20"/>
              </w:rPr>
              <w:t xml:space="preserve"> ppmvd@15%O2</w:t>
            </w:r>
            <w:r>
              <w:rPr>
                <w:rFonts w:cs="Arial"/>
                <w:sz w:val="20"/>
                <w:szCs w:val="20"/>
              </w:rPr>
              <w:t>*</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tcPr>
          <w:p w:rsidR="0049073C" w:rsidRPr="002253E5" w:rsidRDefault="0049073C" w:rsidP="00040F4A">
            <w:pPr>
              <w:autoSpaceDE w:val="0"/>
              <w:autoSpaceDN w:val="0"/>
              <w:adjustRightInd w:val="0"/>
              <w:rPr>
                <w:rFonts w:cs="Arial"/>
              </w:rPr>
            </w:pPr>
          </w:p>
        </w:tc>
        <w:tc>
          <w:tcPr>
            <w:tcW w:w="2160" w:type="dxa"/>
            <w:tcBorders>
              <w:bottom w:val="single" w:sz="4" w:space="0" w:color="auto"/>
            </w:tcBorders>
          </w:tcPr>
          <w:p w:rsidR="0049073C" w:rsidRPr="002253E5" w:rsidRDefault="0049073C" w:rsidP="00040F4A">
            <w:pPr>
              <w:autoSpaceDE w:val="0"/>
              <w:autoSpaceDN w:val="0"/>
              <w:adjustRightInd w:val="0"/>
              <w:rPr>
                <w:rFonts w:cs="Arial"/>
                <w:sz w:val="20"/>
                <w:szCs w:val="20"/>
              </w:rPr>
            </w:pPr>
            <w:r>
              <w:rPr>
                <w:rFonts w:cs="Arial"/>
                <w:sz w:val="20"/>
                <w:szCs w:val="20"/>
              </w:rPr>
              <w:t xml:space="preserve">      0.10 lb/</w:t>
            </w:r>
            <w:proofErr w:type="spellStart"/>
            <w:r>
              <w:rPr>
                <w:rFonts w:cs="Arial"/>
                <w:sz w:val="20"/>
                <w:szCs w:val="20"/>
              </w:rPr>
              <w:t>MMBtu</w:t>
            </w:r>
            <w:proofErr w:type="spellEnd"/>
          </w:p>
        </w:tc>
        <w:tc>
          <w:tcPr>
            <w:tcW w:w="1440" w:type="dxa"/>
            <w:tcBorders>
              <w:bottom w:val="single" w:sz="4" w:space="0" w:color="auto"/>
            </w:tcBorders>
          </w:tcPr>
          <w:p w:rsidR="0049073C" w:rsidRPr="002253E5" w:rsidRDefault="0049073C" w:rsidP="00040F4A">
            <w:pPr>
              <w:autoSpaceDE w:val="0"/>
              <w:autoSpaceDN w:val="0"/>
              <w:adjustRightInd w:val="0"/>
              <w:rPr>
                <w:rFonts w:cs="Arial"/>
              </w:rPr>
            </w:pPr>
            <w:r>
              <w:rPr>
                <w:rFonts w:cs="Arial"/>
              </w:rPr>
              <w:t xml:space="preserve">      1-hour</w:t>
            </w:r>
          </w:p>
        </w:tc>
      </w:tr>
      <w:tr w:rsidR="0049073C" w:rsidRPr="002253E5" w:rsidTr="00040F4A">
        <w:trPr>
          <w:jc w:val="center"/>
        </w:trPr>
        <w:tc>
          <w:tcPr>
            <w:tcW w:w="3474" w:type="dxa"/>
            <w:vMerge/>
            <w:tcBorders>
              <w:bottom w:val="single" w:sz="4" w:space="0" w:color="auto"/>
            </w:tcBorders>
          </w:tcPr>
          <w:p w:rsidR="0049073C" w:rsidRPr="002253E5" w:rsidRDefault="0049073C" w:rsidP="00040F4A">
            <w:pPr>
              <w:autoSpaceDE w:val="0"/>
              <w:autoSpaceDN w:val="0"/>
              <w:adjustRightInd w:val="0"/>
              <w:rPr>
                <w:rFonts w:cs="Arial"/>
              </w:rPr>
            </w:pPr>
          </w:p>
        </w:tc>
        <w:tc>
          <w:tcPr>
            <w:tcW w:w="1620" w:type="dxa"/>
            <w:vMerge/>
            <w:tcBorders>
              <w:bottom w:val="single" w:sz="4" w:space="0" w:color="auto"/>
            </w:tcBorders>
          </w:tcPr>
          <w:p w:rsidR="0049073C" w:rsidRPr="002253E5" w:rsidRDefault="0049073C" w:rsidP="00040F4A">
            <w:pPr>
              <w:autoSpaceDE w:val="0"/>
              <w:autoSpaceDN w:val="0"/>
              <w:adjustRightInd w:val="0"/>
              <w:rPr>
                <w:rFonts w:cs="Arial"/>
              </w:rPr>
            </w:pPr>
          </w:p>
        </w:tc>
        <w:tc>
          <w:tcPr>
            <w:tcW w:w="1953" w:type="dxa"/>
            <w:vMerge/>
            <w:tcBorders>
              <w:bottom w:val="single" w:sz="4" w:space="0" w:color="auto"/>
            </w:tcBorders>
          </w:tcPr>
          <w:p w:rsidR="0049073C" w:rsidRDefault="0049073C" w:rsidP="00040F4A">
            <w:pPr>
              <w:autoSpaceDE w:val="0"/>
              <w:autoSpaceDN w:val="0"/>
              <w:adjustRightInd w:val="0"/>
              <w:rPr>
                <w:rFonts w:cs="Arial"/>
              </w:rPr>
            </w:pPr>
          </w:p>
        </w:tc>
        <w:tc>
          <w:tcPr>
            <w:tcW w:w="2160" w:type="dxa"/>
            <w:tcBorders>
              <w:bottom w:val="single" w:sz="4" w:space="0" w:color="auto"/>
            </w:tcBorders>
          </w:tcPr>
          <w:p w:rsidR="0049073C" w:rsidRDefault="0049073C" w:rsidP="00040F4A">
            <w:pPr>
              <w:autoSpaceDE w:val="0"/>
              <w:autoSpaceDN w:val="0"/>
              <w:adjustRightInd w:val="0"/>
              <w:rPr>
                <w:rFonts w:cs="Arial"/>
                <w:sz w:val="20"/>
                <w:szCs w:val="20"/>
              </w:rPr>
            </w:pPr>
            <w:r>
              <w:rPr>
                <w:rFonts w:cs="Arial"/>
                <w:sz w:val="20"/>
                <w:szCs w:val="20"/>
              </w:rPr>
              <w:t xml:space="preserve">      0.75 lb/</w:t>
            </w:r>
            <w:proofErr w:type="spellStart"/>
            <w:r>
              <w:rPr>
                <w:rFonts w:cs="Arial"/>
                <w:sz w:val="20"/>
                <w:szCs w:val="20"/>
              </w:rPr>
              <w:t>MWh</w:t>
            </w:r>
            <w:proofErr w:type="spellEnd"/>
            <w:r>
              <w:rPr>
                <w:rFonts w:cs="Arial"/>
                <w:sz w:val="20"/>
                <w:szCs w:val="20"/>
              </w:rPr>
              <w:t>**</w:t>
            </w:r>
          </w:p>
        </w:tc>
        <w:tc>
          <w:tcPr>
            <w:tcW w:w="1440" w:type="dxa"/>
            <w:tcBorders>
              <w:bottom w:val="single" w:sz="4" w:space="0" w:color="auto"/>
            </w:tcBorders>
          </w:tcPr>
          <w:p w:rsidR="0049073C" w:rsidRDefault="0049073C" w:rsidP="00040F4A">
            <w:pPr>
              <w:autoSpaceDE w:val="0"/>
              <w:autoSpaceDN w:val="0"/>
              <w:adjustRightInd w:val="0"/>
              <w:rPr>
                <w:rFonts w:cs="Arial"/>
              </w:rPr>
            </w:pPr>
            <w:r>
              <w:rPr>
                <w:rFonts w:cs="Arial"/>
              </w:rPr>
              <w:t xml:space="preserve">      1-hour</w:t>
            </w:r>
          </w:p>
        </w:tc>
      </w:tr>
      <w:tr w:rsidR="0049073C" w:rsidRPr="002253E5" w:rsidTr="00040F4A">
        <w:trPr>
          <w:jc w:val="center"/>
        </w:trPr>
        <w:tc>
          <w:tcPr>
            <w:tcW w:w="3474" w:type="dxa"/>
            <w:shd w:val="clear" w:color="auto" w:fill="CCFFCC"/>
          </w:tcPr>
          <w:p w:rsidR="0049073C" w:rsidRPr="002253E5" w:rsidRDefault="0049073C" w:rsidP="00040F4A">
            <w:pPr>
              <w:autoSpaceDE w:val="0"/>
              <w:autoSpaceDN w:val="0"/>
              <w:adjustRightInd w:val="0"/>
              <w:rPr>
                <w:rFonts w:cs="Arial"/>
              </w:rPr>
            </w:pPr>
          </w:p>
        </w:tc>
        <w:tc>
          <w:tcPr>
            <w:tcW w:w="1620" w:type="dxa"/>
            <w:shd w:val="clear" w:color="auto" w:fill="CCFFCC"/>
          </w:tcPr>
          <w:p w:rsidR="0049073C" w:rsidRPr="002253E5" w:rsidRDefault="0049073C" w:rsidP="00040F4A">
            <w:pPr>
              <w:autoSpaceDE w:val="0"/>
              <w:autoSpaceDN w:val="0"/>
              <w:adjustRightInd w:val="0"/>
              <w:rPr>
                <w:rFonts w:cs="Arial"/>
              </w:rPr>
            </w:pPr>
          </w:p>
        </w:tc>
        <w:tc>
          <w:tcPr>
            <w:tcW w:w="1953" w:type="dxa"/>
            <w:shd w:val="clear" w:color="auto" w:fill="CCFFCC"/>
          </w:tcPr>
          <w:p w:rsidR="0049073C" w:rsidRPr="002253E5" w:rsidRDefault="0049073C" w:rsidP="00040F4A">
            <w:pPr>
              <w:autoSpaceDE w:val="0"/>
              <w:autoSpaceDN w:val="0"/>
              <w:adjustRightInd w:val="0"/>
              <w:rPr>
                <w:rFonts w:cs="Arial"/>
              </w:rPr>
            </w:pPr>
          </w:p>
        </w:tc>
        <w:tc>
          <w:tcPr>
            <w:tcW w:w="2160" w:type="dxa"/>
            <w:shd w:val="clear" w:color="auto" w:fill="CCFFCC"/>
          </w:tcPr>
          <w:p w:rsidR="0049073C" w:rsidRPr="002253E5" w:rsidRDefault="0049073C" w:rsidP="00040F4A">
            <w:pPr>
              <w:autoSpaceDE w:val="0"/>
              <w:autoSpaceDN w:val="0"/>
              <w:adjustRightInd w:val="0"/>
              <w:rPr>
                <w:rFonts w:cs="Arial"/>
              </w:rPr>
            </w:pPr>
          </w:p>
        </w:tc>
        <w:tc>
          <w:tcPr>
            <w:tcW w:w="1440" w:type="dxa"/>
            <w:shd w:val="clear" w:color="auto" w:fill="CCFFCC"/>
          </w:tcPr>
          <w:p w:rsidR="0049073C" w:rsidRPr="002253E5" w:rsidRDefault="0049073C" w:rsidP="00040F4A">
            <w:pPr>
              <w:autoSpaceDE w:val="0"/>
              <w:autoSpaceDN w:val="0"/>
              <w:adjustRightInd w:val="0"/>
              <w:rPr>
                <w:rFonts w:cs="Arial"/>
              </w:rPr>
            </w:pPr>
          </w:p>
        </w:tc>
      </w:tr>
      <w:tr w:rsidR="0049073C" w:rsidRPr="002253E5" w:rsidTr="00040F4A">
        <w:trPr>
          <w:jc w:val="center"/>
        </w:trPr>
        <w:tc>
          <w:tcPr>
            <w:tcW w:w="3474" w:type="dxa"/>
            <w:vMerge w:val="restart"/>
          </w:tcPr>
          <w:p w:rsidR="0049073C" w:rsidRDefault="0049073C" w:rsidP="00040F4A">
            <w:pPr>
              <w:autoSpaceDE w:val="0"/>
              <w:autoSpaceDN w:val="0"/>
              <w:adjustRightInd w:val="0"/>
              <w:rPr>
                <w:rFonts w:cs="Arial"/>
              </w:rPr>
            </w:pPr>
          </w:p>
          <w:p w:rsidR="0049073C" w:rsidRDefault="0049073C" w:rsidP="00040F4A">
            <w:pPr>
              <w:autoSpaceDE w:val="0"/>
              <w:autoSpaceDN w:val="0"/>
              <w:adjustRightInd w:val="0"/>
              <w:rPr>
                <w:rFonts w:cs="Arial"/>
              </w:rPr>
            </w:pPr>
          </w:p>
          <w:p w:rsidR="0049073C" w:rsidRDefault="0049073C" w:rsidP="00040F4A">
            <w:pPr>
              <w:autoSpaceDE w:val="0"/>
              <w:autoSpaceDN w:val="0"/>
              <w:adjustRightInd w:val="0"/>
              <w:rPr>
                <w:rFonts w:cs="Arial"/>
              </w:rPr>
            </w:pPr>
          </w:p>
          <w:p w:rsidR="0049073C" w:rsidRPr="002253E5" w:rsidRDefault="0049073C" w:rsidP="00040F4A">
            <w:pPr>
              <w:autoSpaceDE w:val="0"/>
              <w:autoSpaceDN w:val="0"/>
              <w:adjustRightInd w:val="0"/>
              <w:rPr>
                <w:rFonts w:cs="Arial"/>
              </w:rPr>
            </w:pPr>
            <w:r w:rsidRPr="002253E5">
              <w:rPr>
                <w:rFonts w:cs="Arial"/>
              </w:rPr>
              <w:t>Combustion Turbine - Oil Fuel</w:t>
            </w:r>
          </w:p>
        </w:tc>
        <w:tc>
          <w:tcPr>
            <w:tcW w:w="1620" w:type="dxa"/>
            <w:vMerge w:val="restart"/>
          </w:tcPr>
          <w:p w:rsidR="0049073C" w:rsidRDefault="0049073C" w:rsidP="00040F4A">
            <w:pPr>
              <w:autoSpaceDE w:val="0"/>
              <w:autoSpaceDN w:val="0"/>
              <w:adjustRightInd w:val="0"/>
              <w:rPr>
                <w:rFonts w:cs="Arial"/>
              </w:rPr>
            </w:pPr>
            <w:r w:rsidRPr="002253E5">
              <w:rPr>
                <w:rFonts w:cs="Arial"/>
              </w:rPr>
              <w:t xml:space="preserve">        </w:t>
            </w:r>
          </w:p>
          <w:p w:rsidR="0049073C" w:rsidRDefault="0049073C" w:rsidP="00040F4A">
            <w:pPr>
              <w:autoSpaceDE w:val="0"/>
              <w:autoSpaceDN w:val="0"/>
              <w:adjustRightInd w:val="0"/>
              <w:rPr>
                <w:rFonts w:cs="Arial"/>
              </w:rPr>
            </w:pPr>
          </w:p>
          <w:p w:rsidR="0049073C" w:rsidRDefault="0049073C" w:rsidP="00040F4A">
            <w:pPr>
              <w:autoSpaceDE w:val="0"/>
              <w:autoSpaceDN w:val="0"/>
              <w:adjustRightInd w:val="0"/>
              <w:rPr>
                <w:rFonts w:cs="Arial"/>
              </w:rPr>
            </w:pPr>
          </w:p>
          <w:p w:rsidR="0049073C" w:rsidRPr="002253E5" w:rsidRDefault="0049073C" w:rsidP="00040F4A">
            <w:pPr>
              <w:autoSpaceDE w:val="0"/>
              <w:autoSpaceDN w:val="0"/>
              <w:adjustRightInd w:val="0"/>
              <w:rPr>
                <w:rFonts w:cs="Arial"/>
              </w:rPr>
            </w:pPr>
            <w:r>
              <w:rPr>
                <w:rFonts w:cs="Arial"/>
              </w:rPr>
              <w:t xml:space="preserve">       </w:t>
            </w:r>
            <w:r w:rsidRPr="002253E5">
              <w:rPr>
                <w:rFonts w:cs="Arial"/>
              </w:rPr>
              <w:t xml:space="preserve"> All</w:t>
            </w:r>
          </w:p>
        </w:tc>
        <w:tc>
          <w:tcPr>
            <w:tcW w:w="1953" w:type="dxa"/>
            <w:vMerge w:val="restart"/>
          </w:tcPr>
          <w:p w:rsidR="0049073C" w:rsidRDefault="0049073C" w:rsidP="00040F4A">
            <w:pPr>
              <w:autoSpaceDE w:val="0"/>
              <w:autoSpaceDN w:val="0"/>
              <w:adjustRightInd w:val="0"/>
              <w:rPr>
                <w:rFonts w:cs="Arial"/>
              </w:rPr>
            </w:pPr>
            <w:r w:rsidRPr="002253E5">
              <w:rPr>
                <w:rFonts w:cs="Arial"/>
              </w:rPr>
              <w:t xml:space="preserve">   </w:t>
            </w:r>
          </w:p>
          <w:p w:rsidR="0049073C" w:rsidRPr="002253E5" w:rsidRDefault="0049073C" w:rsidP="00040F4A">
            <w:pPr>
              <w:autoSpaceDE w:val="0"/>
              <w:autoSpaceDN w:val="0"/>
              <w:adjustRightInd w:val="0"/>
              <w:rPr>
                <w:rFonts w:cs="Arial"/>
              </w:rPr>
            </w:pPr>
            <w:r>
              <w:rPr>
                <w:rFonts w:cs="Arial"/>
              </w:rPr>
              <w:t xml:space="preserve">   </w:t>
            </w:r>
            <w:r w:rsidRPr="002253E5">
              <w:rPr>
                <w:rFonts w:cs="Arial"/>
              </w:rPr>
              <w:t>Simple Cycle</w:t>
            </w:r>
          </w:p>
          <w:p w:rsidR="0049073C" w:rsidRPr="002253E5" w:rsidRDefault="0049073C" w:rsidP="00040F4A">
            <w:pPr>
              <w:autoSpaceDE w:val="0"/>
              <w:autoSpaceDN w:val="0"/>
              <w:adjustRightInd w:val="0"/>
              <w:rPr>
                <w:rFonts w:cs="Arial"/>
              </w:rPr>
            </w:pPr>
            <w:r>
              <w:rPr>
                <w:rFonts w:cs="Arial"/>
              </w:rPr>
              <w:t xml:space="preserve">   </w:t>
            </w:r>
          </w:p>
        </w:tc>
        <w:tc>
          <w:tcPr>
            <w:tcW w:w="2160" w:type="dxa"/>
          </w:tcPr>
          <w:p w:rsidR="0049073C" w:rsidRPr="002253E5" w:rsidRDefault="0049073C" w:rsidP="00040F4A">
            <w:pPr>
              <w:autoSpaceDE w:val="0"/>
              <w:autoSpaceDN w:val="0"/>
              <w:adjustRightInd w:val="0"/>
              <w:rPr>
                <w:rFonts w:cs="Arial"/>
              </w:rPr>
            </w:pPr>
            <w:r>
              <w:rPr>
                <w:rFonts w:cs="Arial"/>
                <w:sz w:val="20"/>
                <w:szCs w:val="20"/>
              </w:rPr>
              <w:t xml:space="preserve">  42 </w:t>
            </w:r>
            <w:r w:rsidRPr="002253E5">
              <w:rPr>
                <w:rFonts w:cs="Arial"/>
                <w:sz w:val="20"/>
                <w:szCs w:val="20"/>
              </w:rPr>
              <w:t>ppmvd@15%O2</w:t>
            </w:r>
            <w:r>
              <w:rPr>
                <w:rFonts w:cs="Arial"/>
                <w:sz w:val="20"/>
                <w:szCs w:val="20"/>
              </w:rPr>
              <w:t>*</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tcPr>
          <w:p w:rsidR="0049073C" w:rsidRDefault="0049073C" w:rsidP="00040F4A">
            <w:pPr>
              <w:autoSpaceDE w:val="0"/>
              <w:autoSpaceDN w:val="0"/>
              <w:adjustRightInd w:val="0"/>
              <w:rPr>
                <w:rFonts w:cs="Arial"/>
              </w:rPr>
            </w:pPr>
          </w:p>
        </w:tc>
        <w:tc>
          <w:tcPr>
            <w:tcW w:w="2160" w:type="dxa"/>
          </w:tcPr>
          <w:p w:rsidR="0049073C" w:rsidRDefault="0049073C" w:rsidP="00040F4A">
            <w:pPr>
              <w:autoSpaceDE w:val="0"/>
              <w:autoSpaceDN w:val="0"/>
              <w:adjustRightInd w:val="0"/>
              <w:rPr>
                <w:rFonts w:cs="Arial"/>
                <w:sz w:val="20"/>
                <w:szCs w:val="20"/>
              </w:rPr>
            </w:pPr>
            <w:r>
              <w:rPr>
                <w:rFonts w:cs="Arial"/>
                <w:sz w:val="20"/>
                <w:szCs w:val="20"/>
              </w:rPr>
              <w:t xml:space="preserve">     0.16 lb/</w:t>
            </w:r>
            <w:proofErr w:type="spellStart"/>
            <w:r>
              <w:rPr>
                <w:rFonts w:cs="Arial"/>
                <w:sz w:val="20"/>
                <w:szCs w:val="20"/>
              </w:rPr>
              <w:t>MMBtu</w:t>
            </w:r>
            <w:proofErr w:type="spellEnd"/>
          </w:p>
        </w:tc>
        <w:tc>
          <w:tcPr>
            <w:tcW w:w="1440" w:type="dxa"/>
          </w:tcPr>
          <w:p w:rsidR="0049073C" w:rsidRDefault="0049073C" w:rsidP="00040F4A">
            <w:pPr>
              <w:autoSpaceDE w:val="0"/>
              <w:autoSpaceDN w:val="0"/>
              <w:adjustRightInd w:val="0"/>
              <w:rPr>
                <w:rFonts w:cs="Arial"/>
              </w:rPr>
            </w:pPr>
            <w:r>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tcPr>
          <w:p w:rsidR="0049073C" w:rsidRPr="002253E5" w:rsidRDefault="0049073C" w:rsidP="00040F4A">
            <w:pPr>
              <w:autoSpaceDE w:val="0"/>
              <w:autoSpaceDN w:val="0"/>
              <w:adjustRightInd w:val="0"/>
              <w:rPr>
                <w:rFonts w:cs="Arial"/>
              </w:rPr>
            </w:pPr>
          </w:p>
        </w:tc>
        <w:tc>
          <w:tcPr>
            <w:tcW w:w="2160" w:type="dxa"/>
          </w:tcPr>
          <w:p w:rsidR="0049073C" w:rsidRPr="002253E5" w:rsidRDefault="0049073C" w:rsidP="00040F4A">
            <w:pPr>
              <w:autoSpaceDE w:val="0"/>
              <w:autoSpaceDN w:val="0"/>
              <w:adjustRightInd w:val="0"/>
              <w:rPr>
                <w:rFonts w:cs="Arial"/>
                <w:sz w:val="20"/>
                <w:szCs w:val="20"/>
              </w:rPr>
            </w:pPr>
            <w:r>
              <w:rPr>
                <w:rFonts w:cs="Arial"/>
                <w:sz w:val="20"/>
                <w:szCs w:val="20"/>
              </w:rPr>
              <w:t xml:space="preserve">      1.6 lb/</w:t>
            </w:r>
            <w:proofErr w:type="spellStart"/>
            <w:r>
              <w:rPr>
                <w:rFonts w:cs="Arial"/>
                <w:sz w:val="20"/>
                <w:szCs w:val="20"/>
              </w:rPr>
              <w:t>MWh</w:t>
            </w:r>
            <w:proofErr w:type="spellEnd"/>
            <w:r>
              <w:rPr>
                <w:rFonts w:cs="Arial"/>
                <w:sz w:val="20"/>
                <w:szCs w:val="20"/>
              </w:rPr>
              <w:t>**</w:t>
            </w:r>
          </w:p>
        </w:tc>
        <w:tc>
          <w:tcPr>
            <w:tcW w:w="1440" w:type="dxa"/>
          </w:tcPr>
          <w:p w:rsidR="0049073C" w:rsidRPr="002253E5" w:rsidRDefault="0049073C" w:rsidP="00040F4A">
            <w:pPr>
              <w:autoSpaceDE w:val="0"/>
              <w:autoSpaceDN w:val="0"/>
              <w:adjustRightInd w:val="0"/>
              <w:rPr>
                <w:rFonts w:cs="Arial"/>
              </w:rPr>
            </w:pPr>
            <w:r>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val="restart"/>
          </w:tcPr>
          <w:p w:rsidR="0049073C" w:rsidRPr="002253E5" w:rsidRDefault="0049073C" w:rsidP="00040F4A">
            <w:pPr>
              <w:autoSpaceDE w:val="0"/>
              <w:autoSpaceDN w:val="0"/>
              <w:adjustRightInd w:val="0"/>
              <w:rPr>
                <w:rFonts w:cs="Arial"/>
              </w:rPr>
            </w:pPr>
          </w:p>
          <w:p w:rsidR="0049073C" w:rsidRPr="002253E5" w:rsidRDefault="0049073C" w:rsidP="00040F4A">
            <w:pPr>
              <w:autoSpaceDE w:val="0"/>
              <w:autoSpaceDN w:val="0"/>
              <w:adjustRightInd w:val="0"/>
              <w:rPr>
                <w:rFonts w:cs="Arial"/>
              </w:rPr>
            </w:pPr>
            <w:r>
              <w:rPr>
                <w:rFonts w:cs="Arial"/>
              </w:rPr>
              <w:t>Combined Cycle</w:t>
            </w:r>
          </w:p>
        </w:tc>
        <w:tc>
          <w:tcPr>
            <w:tcW w:w="2160" w:type="dxa"/>
          </w:tcPr>
          <w:p w:rsidR="0049073C" w:rsidRPr="002253E5" w:rsidRDefault="0049073C" w:rsidP="00040F4A">
            <w:pPr>
              <w:autoSpaceDE w:val="0"/>
              <w:autoSpaceDN w:val="0"/>
              <w:adjustRightInd w:val="0"/>
              <w:rPr>
                <w:rFonts w:cs="Arial"/>
              </w:rPr>
            </w:pPr>
            <w:r w:rsidRPr="002253E5">
              <w:rPr>
                <w:rFonts w:cs="Arial"/>
                <w:sz w:val="20"/>
                <w:szCs w:val="20"/>
              </w:rPr>
              <w:t xml:space="preserve">  </w:t>
            </w:r>
            <w:r>
              <w:rPr>
                <w:rFonts w:cs="Arial"/>
                <w:sz w:val="20"/>
                <w:szCs w:val="20"/>
              </w:rPr>
              <w:t>42</w:t>
            </w:r>
            <w:r w:rsidRPr="002253E5">
              <w:rPr>
                <w:rFonts w:cs="Arial"/>
                <w:sz w:val="20"/>
                <w:szCs w:val="20"/>
              </w:rPr>
              <w:t xml:space="preserve"> ppmvd@15%O2</w:t>
            </w:r>
            <w:r>
              <w:rPr>
                <w:rFonts w:cs="Arial"/>
                <w:sz w:val="20"/>
                <w:szCs w:val="20"/>
              </w:rPr>
              <w:t>*</w:t>
            </w:r>
          </w:p>
        </w:tc>
        <w:tc>
          <w:tcPr>
            <w:tcW w:w="1440" w:type="dxa"/>
          </w:tcPr>
          <w:p w:rsidR="0049073C" w:rsidRPr="002253E5" w:rsidRDefault="0049073C" w:rsidP="00040F4A">
            <w:pPr>
              <w:autoSpaceDE w:val="0"/>
              <w:autoSpaceDN w:val="0"/>
              <w:adjustRightInd w:val="0"/>
              <w:rPr>
                <w:rFonts w:cs="Arial"/>
              </w:rPr>
            </w:pPr>
            <w:r w:rsidRPr="002253E5">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tcPr>
          <w:p w:rsidR="0049073C" w:rsidRDefault="0049073C" w:rsidP="00040F4A">
            <w:pPr>
              <w:autoSpaceDE w:val="0"/>
              <w:autoSpaceDN w:val="0"/>
              <w:adjustRightInd w:val="0"/>
              <w:rPr>
                <w:rFonts w:cs="Arial"/>
              </w:rPr>
            </w:pPr>
          </w:p>
        </w:tc>
        <w:tc>
          <w:tcPr>
            <w:tcW w:w="2160" w:type="dxa"/>
          </w:tcPr>
          <w:p w:rsidR="0049073C" w:rsidRDefault="0049073C" w:rsidP="00040F4A">
            <w:pPr>
              <w:autoSpaceDE w:val="0"/>
              <w:autoSpaceDN w:val="0"/>
              <w:adjustRightInd w:val="0"/>
              <w:rPr>
                <w:rFonts w:cs="Arial"/>
                <w:sz w:val="20"/>
                <w:szCs w:val="20"/>
              </w:rPr>
            </w:pPr>
            <w:r>
              <w:rPr>
                <w:rFonts w:cs="Arial"/>
                <w:sz w:val="20"/>
                <w:szCs w:val="20"/>
              </w:rPr>
              <w:t xml:space="preserve">    0.16 lb/</w:t>
            </w:r>
            <w:proofErr w:type="spellStart"/>
            <w:r>
              <w:rPr>
                <w:rFonts w:cs="Arial"/>
                <w:sz w:val="20"/>
                <w:szCs w:val="20"/>
              </w:rPr>
              <w:t>MMBtu</w:t>
            </w:r>
            <w:proofErr w:type="spellEnd"/>
          </w:p>
        </w:tc>
        <w:tc>
          <w:tcPr>
            <w:tcW w:w="1440" w:type="dxa"/>
          </w:tcPr>
          <w:p w:rsidR="0049073C" w:rsidRDefault="0049073C" w:rsidP="00040F4A">
            <w:pPr>
              <w:autoSpaceDE w:val="0"/>
              <w:autoSpaceDN w:val="0"/>
              <w:adjustRightInd w:val="0"/>
              <w:rPr>
                <w:rFonts w:cs="Arial"/>
              </w:rPr>
            </w:pPr>
            <w:r>
              <w:rPr>
                <w:rFonts w:cs="Arial"/>
              </w:rPr>
              <w:t xml:space="preserve">      1-hour</w:t>
            </w:r>
          </w:p>
        </w:tc>
      </w:tr>
      <w:tr w:rsidR="0049073C" w:rsidRPr="002253E5" w:rsidTr="00040F4A">
        <w:trPr>
          <w:jc w:val="center"/>
        </w:trPr>
        <w:tc>
          <w:tcPr>
            <w:tcW w:w="3474" w:type="dxa"/>
            <w:vMerge/>
          </w:tcPr>
          <w:p w:rsidR="0049073C" w:rsidRPr="002253E5" w:rsidRDefault="0049073C" w:rsidP="00040F4A">
            <w:pPr>
              <w:autoSpaceDE w:val="0"/>
              <w:autoSpaceDN w:val="0"/>
              <w:adjustRightInd w:val="0"/>
              <w:rPr>
                <w:rFonts w:cs="Arial"/>
              </w:rPr>
            </w:pPr>
          </w:p>
        </w:tc>
        <w:tc>
          <w:tcPr>
            <w:tcW w:w="1620" w:type="dxa"/>
            <w:vMerge/>
          </w:tcPr>
          <w:p w:rsidR="0049073C" w:rsidRPr="002253E5" w:rsidRDefault="0049073C" w:rsidP="00040F4A">
            <w:pPr>
              <w:autoSpaceDE w:val="0"/>
              <w:autoSpaceDN w:val="0"/>
              <w:adjustRightInd w:val="0"/>
              <w:rPr>
                <w:rFonts w:cs="Arial"/>
              </w:rPr>
            </w:pPr>
          </w:p>
        </w:tc>
        <w:tc>
          <w:tcPr>
            <w:tcW w:w="1953" w:type="dxa"/>
            <w:vMerge/>
          </w:tcPr>
          <w:p w:rsidR="0049073C" w:rsidRPr="002253E5" w:rsidRDefault="0049073C" w:rsidP="00040F4A">
            <w:pPr>
              <w:autoSpaceDE w:val="0"/>
              <w:autoSpaceDN w:val="0"/>
              <w:adjustRightInd w:val="0"/>
              <w:rPr>
                <w:rFonts w:cs="Arial"/>
              </w:rPr>
            </w:pPr>
          </w:p>
        </w:tc>
        <w:tc>
          <w:tcPr>
            <w:tcW w:w="2160" w:type="dxa"/>
          </w:tcPr>
          <w:p w:rsidR="0049073C" w:rsidRPr="002253E5" w:rsidRDefault="0049073C" w:rsidP="00040F4A">
            <w:pPr>
              <w:autoSpaceDE w:val="0"/>
              <w:autoSpaceDN w:val="0"/>
              <w:adjustRightInd w:val="0"/>
              <w:rPr>
                <w:rFonts w:cs="Arial"/>
                <w:sz w:val="20"/>
                <w:szCs w:val="20"/>
              </w:rPr>
            </w:pPr>
            <w:r>
              <w:rPr>
                <w:rFonts w:cs="Arial"/>
                <w:sz w:val="20"/>
                <w:szCs w:val="20"/>
              </w:rPr>
              <w:t xml:space="preserve">      1.2 lb/</w:t>
            </w:r>
            <w:proofErr w:type="spellStart"/>
            <w:r>
              <w:rPr>
                <w:rFonts w:cs="Arial"/>
                <w:sz w:val="20"/>
                <w:szCs w:val="20"/>
              </w:rPr>
              <w:t>MWh</w:t>
            </w:r>
            <w:proofErr w:type="spellEnd"/>
            <w:r>
              <w:rPr>
                <w:rFonts w:cs="Arial"/>
                <w:sz w:val="20"/>
                <w:szCs w:val="20"/>
              </w:rPr>
              <w:t>**</w:t>
            </w:r>
          </w:p>
        </w:tc>
        <w:tc>
          <w:tcPr>
            <w:tcW w:w="1440" w:type="dxa"/>
          </w:tcPr>
          <w:p w:rsidR="0049073C" w:rsidRPr="002253E5" w:rsidRDefault="0049073C" w:rsidP="00040F4A">
            <w:pPr>
              <w:autoSpaceDE w:val="0"/>
              <w:autoSpaceDN w:val="0"/>
              <w:adjustRightInd w:val="0"/>
              <w:rPr>
                <w:rFonts w:cs="Arial"/>
              </w:rPr>
            </w:pPr>
            <w:r>
              <w:rPr>
                <w:rFonts w:cs="Arial"/>
              </w:rPr>
              <w:t xml:space="preserve">      1-hour</w:t>
            </w:r>
          </w:p>
        </w:tc>
      </w:tr>
    </w:tbl>
    <w:p w:rsidR="0049073C" w:rsidRDefault="0049073C" w:rsidP="0049073C">
      <w:pPr>
        <w:rPr>
          <w:rFonts w:cs="Arial"/>
        </w:rPr>
      </w:pPr>
    </w:p>
    <w:p w:rsidR="0049073C" w:rsidRDefault="0049073C" w:rsidP="0049073C">
      <w:pPr>
        <w:ind w:left="-720" w:right="-360"/>
        <w:rPr>
          <w:rFonts w:cs="Arial"/>
          <w:sz w:val="20"/>
          <w:szCs w:val="20"/>
        </w:rPr>
      </w:pPr>
      <w:r w:rsidRPr="00FD6B48">
        <w:rPr>
          <w:rFonts w:cs="Arial"/>
          <w:sz w:val="22"/>
          <w:szCs w:val="22"/>
        </w:rPr>
        <w:t>*</w:t>
      </w:r>
      <w:r>
        <w:rPr>
          <w:rFonts w:cs="Arial"/>
          <w:sz w:val="22"/>
          <w:szCs w:val="22"/>
        </w:rPr>
        <w:t xml:space="preserve"> </w:t>
      </w:r>
      <w:r w:rsidRPr="005A4533">
        <w:rPr>
          <w:rFonts w:cs="Arial"/>
          <w:sz w:val="20"/>
          <w:szCs w:val="20"/>
        </w:rPr>
        <w:t>Some state rules also include provisions for: alternative emission limits NOx RACT orders with alternative NOx RACT emission limits, or the implementation of specific types of NOx control technologies.  S</w:t>
      </w:r>
      <w:r>
        <w:rPr>
          <w:rFonts w:cs="Arial"/>
          <w:sz w:val="20"/>
          <w:szCs w:val="20"/>
        </w:rPr>
        <w:t xml:space="preserve">imilar alternative compliance means may be necessary for some existing units that may not be able to achieve these NOx rate limits with NOx emission controls representative of RACT. </w:t>
      </w:r>
    </w:p>
    <w:p w:rsidR="0049073C" w:rsidRPr="005A4533" w:rsidRDefault="0049073C" w:rsidP="0049073C">
      <w:pPr>
        <w:ind w:left="-720" w:right="-360"/>
        <w:rPr>
          <w:rFonts w:cs="Arial"/>
          <w:sz w:val="20"/>
          <w:szCs w:val="20"/>
        </w:rPr>
      </w:pPr>
      <w:r w:rsidRPr="005A4533">
        <w:rPr>
          <w:sz w:val="20"/>
          <w:szCs w:val="20"/>
        </w:rPr>
        <w:t>**lb/</w:t>
      </w:r>
      <w:proofErr w:type="spellStart"/>
      <w:r w:rsidRPr="005A4533">
        <w:rPr>
          <w:sz w:val="20"/>
          <w:szCs w:val="20"/>
        </w:rPr>
        <w:t>MWh</w:t>
      </w:r>
      <w:proofErr w:type="spellEnd"/>
      <w:r w:rsidRPr="005A4533">
        <w:rPr>
          <w:sz w:val="20"/>
          <w:szCs w:val="20"/>
        </w:rPr>
        <w:t xml:space="preserve"> emission rates calculated using an efficiency of 35% for simple cycle CTs and 46% for combined cycle CTs [lb/</w:t>
      </w:r>
      <w:proofErr w:type="spellStart"/>
      <w:r w:rsidRPr="005A4533">
        <w:rPr>
          <w:sz w:val="20"/>
          <w:szCs w:val="20"/>
        </w:rPr>
        <w:t>MWh</w:t>
      </w:r>
      <w:proofErr w:type="spellEnd"/>
      <w:r w:rsidRPr="005A4533">
        <w:rPr>
          <w:sz w:val="20"/>
          <w:szCs w:val="20"/>
        </w:rPr>
        <w:t xml:space="preserve"> = lb/</w:t>
      </w:r>
      <w:proofErr w:type="spellStart"/>
      <w:r w:rsidRPr="005A4533">
        <w:rPr>
          <w:sz w:val="20"/>
          <w:szCs w:val="20"/>
        </w:rPr>
        <w:t>MMBtu</w:t>
      </w:r>
      <w:proofErr w:type="spellEnd"/>
      <w:r w:rsidRPr="005A4533">
        <w:rPr>
          <w:sz w:val="20"/>
          <w:szCs w:val="20"/>
        </w:rPr>
        <w:t xml:space="preserve"> * 3.413 / efficiency] </w:t>
      </w:r>
    </w:p>
    <w:p w:rsidR="0049073C" w:rsidRPr="001D1C0F" w:rsidRDefault="0049073C" w:rsidP="0049073C">
      <w:pPr>
        <w:jc w:val="center"/>
        <w:rPr>
          <w:b/>
          <w:noProof/>
          <w:sz w:val="36"/>
          <w:szCs w:val="36"/>
        </w:rPr>
      </w:pPr>
      <w:r w:rsidRPr="001D1C0F">
        <w:rPr>
          <w:b/>
          <w:noProof/>
          <w:sz w:val="36"/>
          <w:szCs w:val="36"/>
        </w:rPr>
        <w:lastRenderedPageBreak/>
        <w:t>Ozone Transport Commission Electric Generating Unit Emission Inventory Analysis</w:t>
      </w:r>
    </w:p>
    <w:p w:rsidR="0049073C" w:rsidRPr="001D1C0F" w:rsidRDefault="0049073C" w:rsidP="001D1C0F">
      <w:pPr>
        <w:jc w:val="center"/>
        <w:rPr>
          <w:b/>
          <w:noProof/>
          <w:sz w:val="36"/>
          <w:szCs w:val="36"/>
        </w:rPr>
      </w:pPr>
    </w:p>
    <w:p w:rsidR="005438A3" w:rsidRPr="005438A3" w:rsidRDefault="005438A3" w:rsidP="00072C8C">
      <w:pPr>
        <w:numPr>
          <w:ilvl w:val="0"/>
          <w:numId w:val="32"/>
        </w:numPr>
        <w:ind w:left="360" w:hanging="360"/>
        <w:rPr>
          <w:b/>
          <w:noProof/>
        </w:rPr>
      </w:pPr>
      <w:r w:rsidRPr="005438A3">
        <w:rPr>
          <w:b/>
          <w:noProof/>
        </w:rPr>
        <w:t>Introduction</w:t>
      </w:r>
    </w:p>
    <w:p w:rsidR="005438A3" w:rsidRDefault="005438A3" w:rsidP="005438A3">
      <w:pPr>
        <w:rPr>
          <w:noProof/>
        </w:rPr>
      </w:pPr>
    </w:p>
    <w:p w:rsidR="005438A3" w:rsidRPr="002E7C23" w:rsidRDefault="005438A3" w:rsidP="005438A3">
      <w:pPr>
        <w:rPr>
          <w:noProof/>
        </w:rPr>
      </w:pPr>
      <w:r>
        <w:rPr>
          <w:noProof/>
        </w:rPr>
        <w:t xml:space="preserve">The Ozone Transport Commission (OTC) Stationary and Area Source Committee (SAS) was </w:t>
      </w:r>
      <w:r w:rsidRPr="002E7C23">
        <w:rPr>
          <w:noProof/>
        </w:rPr>
        <w:t>directed to identify the largest individual and groupings of emitters of nitrogen oxides (NOx) and volatile organic compounds (VOCs) located in an OTC state or an area that contributes to ozone levels in an OTC state.  SAS was specifically directed to:</w:t>
      </w:r>
    </w:p>
    <w:p w:rsidR="005438A3" w:rsidRPr="002E7C23" w:rsidRDefault="005438A3" w:rsidP="005438A3">
      <w:pPr>
        <w:rPr>
          <w:noProof/>
        </w:rPr>
      </w:pPr>
      <w:r w:rsidRPr="002E7C23">
        <w:rPr>
          <w:noProof/>
        </w:rPr>
        <w:t xml:space="preserve">  </w:t>
      </w:r>
    </w:p>
    <w:p w:rsidR="005438A3" w:rsidRPr="002E7C23" w:rsidRDefault="005438A3" w:rsidP="005438A3">
      <w:pPr>
        <w:tabs>
          <w:tab w:val="left" w:pos="1080"/>
        </w:tabs>
        <w:ind w:left="1080" w:hanging="360"/>
        <w:rPr>
          <w:noProof/>
        </w:rPr>
      </w:pPr>
      <w:r w:rsidRPr="002E7C23">
        <w:rPr>
          <w:noProof/>
        </w:rPr>
        <w:t xml:space="preserve">(1) examine individual sources and categories of sources with high short-term emissions of NOx or VOCs; </w:t>
      </w:r>
    </w:p>
    <w:p w:rsidR="005438A3" w:rsidRPr="002E7C23" w:rsidRDefault="005438A3" w:rsidP="005438A3">
      <w:pPr>
        <w:ind w:left="1080" w:hanging="360"/>
        <w:rPr>
          <w:noProof/>
        </w:rPr>
      </w:pPr>
      <w:r w:rsidRPr="002E7C23">
        <w:rPr>
          <w:noProof/>
        </w:rPr>
        <w:t>(2) review electric generating unit (EGU) NOx emission rates to adjust long- term and short-term expectations for emissions reductions; and</w:t>
      </w:r>
    </w:p>
    <w:p w:rsidR="005438A3" w:rsidRPr="002E7C23" w:rsidRDefault="005438A3" w:rsidP="005438A3">
      <w:pPr>
        <w:ind w:left="1080" w:hanging="360"/>
        <w:rPr>
          <w:noProof/>
        </w:rPr>
      </w:pPr>
      <w:r w:rsidRPr="002E7C23">
        <w:rPr>
          <w:noProof/>
        </w:rPr>
        <w:t>(3) develop state-by-state</w:t>
      </w:r>
      <w:r w:rsidRPr="002E7C23">
        <w:rPr>
          <w:b/>
          <w:noProof/>
        </w:rPr>
        <w:t xml:space="preserve"> </w:t>
      </w:r>
      <w:r w:rsidRPr="002E7C23">
        <w:rPr>
          <w:noProof/>
        </w:rPr>
        <w:t>EGU NOx emission rates achievable considering reasonably available controls</w:t>
      </w:r>
      <w:r w:rsidR="006B4518">
        <w:rPr>
          <w:rStyle w:val="FootnoteReference"/>
          <w:noProof/>
        </w:rPr>
        <w:footnoteReference w:id="1"/>
      </w:r>
      <w:r w:rsidRPr="002E7C23">
        <w:rPr>
          <w:noProof/>
        </w:rPr>
        <w:t>.</w:t>
      </w:r>
    </w:p>
    <w:p w:rsidR="005438A3" w:rsidRPr="00427976" w:rsidRDefault="005438A3" w:rsidP="005438A3">
      <w:pPr>
        <w:ind w:left="720"/>
        <w:rPr>
          <w:noProof/>
        </w:rPr>
      </w:pPr>
    </w:p>
    <w:p w:rsidR="005438A3" w:rsidRPr="00712702" w:rsidRDefault="005438A3" w:rsidP="005438A3">
      <w:pPr>
        <w:rPr>
          <w:noProof/>
        </w:rPr>
      </w:pPr>
      <w:r>
        <w:rPr>
          <w:noProof/>
        </w:rPr>
        <w:t xml:space="preserve">SAS was additionally directed  to </w:t>
      </w:r>
      <w:r w:rsidRPr="00987669">
        <w:rPr>
          <w:noProof/>
        </w:rPr>
        <w:t xml:space="preserve">“Evaluate OTR, super regional, and national goals and means to reduce the emissions in a </w:t>
      </w:r>
      <w:r w:rsidRPr="00712702">
        <w:rPr>
          <w:noProof/>
        </w:rPr>
        <w:t>technical and cost effective manner from the identified units and groupings.  The Committee should develop additional strategies, if necessary to reduce peak emissions from these units.</w:t>
      </w:r>
      <w:r w:rsidR="00741640">
        <w:rPr>
          <w:rStyle w:val="FootnoteReference"/>
          <w:noProof/>
        </w:rPr>
        <w:footnoteReference w:id="2"/>
      </w:r>
      <w:r w:rsidRPr="00712702">
        <w:rPr>
          <w:noProof/>
        </w:rPr>
        <w:t>”</w:t>
      </w:r>
    </w:p>
    <w:p w:rsidR="005438A3" w:rsidRPr="00712702" w:rsidRDefault="005438A3" w:rsidP="005438A3">
      <w:pPr>
        <w:rPr>
          <w:noProof/>
        </w:rPr>
      </w:pPr>
    </w:p>
    <w:p w:rsidR="005438A3" w:rsidRPr="00712702" w:rsidRDefault="005438A3" w:rsidP="005438A3">
      <w:pPr>
        <w:rPr>
          <w:noProof/>
        </w:rPr>
      </w:pPr>
      <w:r w:rsidRPr="00712702">
        <w:rPr>
          <w:noProof/>
        </w:rPr>
        <w:t xml:space="preserve">SAS </w:t>
      </w:r>
      <w:r w:rsidR="00AB44E0" w:rsidRPr="00712702">
        <w:rPr>
          <w:noProof/>
        </w:rPr>
        <w:t>formed</w:t>
      </w:r>
      <w:r w:rsidRPr="00712702">
        <w:rPr>
          <w:noProof/>
        </w:rPr>
        <w:t xml:space="preserve"> the Largest Contributor Workgroup to fullfill the SAS Charge. An EGU Subgroup (Subgroup) was formed to specif</w:t>
      </w:r>
      <w:r w:rsidR="000416A8">
        <w:rPr>
          <w:noProof/>
        </w:rPr>
        <w:t>ic</w:t>
      </w:r>
      <w:r w:rsidRPr="00712702">
        <w:rPr>
          <w:noProof/>
        </w:rPr>
        <w:t xml:space="preserve">ally evaluate EGU emissions and </w:t>
      </w:r>
      <w:r w:rsidR="00AB44E0" w:rsidRPr="00712702">
        <w:rPr>
          <w:noProof/>
        </w:rPr>
        <w:t>evaluate</w:t>
      </w:r>
      <w:r w:rsidRPr="00712702">
        <w:rPr>
          <w:noProof/>
        </w:rPr>
        <w:t xml:space="preserve"> the task</w:t>
      </w:r>
      <w:r w:rsidR="000416A8">
        <w:rPr>
          <w:noProof/>
        </w:rPr>
        <w:t>s</w:t>
      </w:r>
      <w:r w:rsidRPr="00712702">
        <w:rPr>
          <w:noProof/>
        </w:rPr>
        <w:t xml:space="preserve"> listed above.  This Whitepaper details the </w:t>
      </w:r>
      <w:r w:rsidR="00AB44E0" w:rsidRPr="00712702">
        <w:rPr>
          <w:noProof/>
        </w:rPr>
        <w:t>analyses</w:t>
      </w:r>
      <w:r w:rsidRPr="00712702">
        <w:rPr>
          <w:noProof/>
        </w:rPr>
        <w:t xml:space="preserve"> conducted to date. The Subgroup, with the assistance of SAS and the OTC Modeling Committee, will perform additional cost-effectiveness and air quality impact analyses as necessary.</w:t>
      </w:r>
    </w:p>
    <w:p w:rsidR="005438A3" w:rsidRPr="00712702" w:rsidRDefault="005438A3" w:rsidP="005438A3"/>
    <w:p w:rsidR="005438A3" w:rsidRDefault="005438A3" w:rsidP="00700053">
      <w:pPr>
        <w:numPr>
          <w:ilvl w:val="0"/>
          <w:numId w:val="32"/>
        </w:numPr>
        <w:ind w:left="360" w:hanging="360"/>
        <w:rPr>
          <w:b/>
        </w:rPr>
      </w:pPr>
      <w:r>
        <w:rPr>
          <w:b/>
        </w:rPr>
        <w:t>Project Scope</w:t>
      </w:r>
    </w:p>
    <w:p w:rsidR="005438A3" w:rsidRDefault="005438A3" w:rsidP="005438A3">
      <w:pPr>
        <w:rPr>
          <w:b/>
        </w:rPr>
      </w:pPr>
    </w:p>
    <w:p w:rsidR="005438A3" w:rsidRDefault="005438A3" w:rsidP="005438A3">
      <w:r>
        <w:t>The Sub</w:t>
      </w:r>
      <w:r w:rsidRPr="00197E99">
        <w:t>group</w:t>
      </w:r>
      <w:r>
        <w:t xml:space="preserve"> was directed to</w:t>
      </w:r>
      <w:r w:rsidRPr="00BA6513">
        <w:rPr>
          <w:rFonts w:cs="Arial"/>
        </w:rPr>
        <w:t xml:space="preserve"> </w:t>
      </w:r>
      <w:r>
        <w:rPr>
          <w:rFonts w:cs="Arial"/>
        </w:rPr>
        <w:t>identify the largest individual and groupings of emitters of NOx within and outside the Ozone Transport Region (OTR) by reviewing recent state, regional, and national emissions data.</w:t>
      </w:r>
      <w:r>
        <w:t xml:space="preserve"> The Subgroup was additionally directed to evaluate the feasibility of reducing peak emissions and to establish reasonably available control technology-based emissions rate limits. Review of the data was completed to:</w:t>
      </w:r>
    </w:p>
    <w:p w:rsidR="005438A3" w:rsidRDefault="005438A3" w:rsidP="005438A3">
      <w:bookmarkStart w:id="0" w:name="OLE_LINK1"/>
      <w:r>
        <w:rPr>
          <w:rFonts w:cs="Arial"/>
        </w:rPr>
        <w:t xml:space="preserve">  </w:t>
      </w:r>
    </w:p>
    <w:p w:rsidR="005438A3" w:rsidRDefault="005438A3" w:rsidP="00741640">
      <w:pPr>
        <w:numPr>
          <w:ilvl w:val="0"/>
          <w:numId w:val="35"/>
        </w:numPr>
      </w:pPr>
      <w:r w:rsidRPr="00427976">
        <w:t>determine the highest short term emission sources regardless of total emissions</w:t>
      </w:r>
      <w:r>
        <w:t>; and</w:t>
      </w:r>
    </w:p>
    <w:p w:rsidR="005438A3" w:rsidRDefault="005438A3" w:rsidP="00741640">
      <w:pPr>
        <w:numPr>
          <w:ilvl w:val="0"/>
          <w:numId w:val="35"/>
        </w:numPr>
      </w:pPr>
      <w:r>
        <w:lastRenderedPageBreak/>
        <w:t>evaluate NOx emission rates for EGUs considering multiple factors</w:t>
      </w:r>
      <w:r w:rsidR="00741640">
        <w:rPr>
          <w:rStyle w:val="FootnoteReference"/>
        </w:rPr>
        <w:footnoteReference w:id="3"/>
      </w:r>
      <w:r>
        <w:t>;</w:t>
      </w:r>
      <w:r w:rsidR="0013271F">
        <w:rPr>
          <w:vertAlign w:val="superscript"/>
        </w:rPr>
        <w:t xml:space="preserve"> </w:t>
      </w:r>
      <w:r>
        <w:t>and</w:t>
      </w:r>
    </w:p>
    <w:p w:rsidR="005438A3" w:rsidRPr="00427976" w:rsidRDefault="005438A3" w:rsidP="00741640">
      <w:pPr>
        <w:numPr>
          <w:ilvl w:val="0"/>
          <w:numId w:val="35"/>
        </w:numPr>
      </w:pPr>
      <w:proofErr w:type="gramStart"/>
      <w:r w:rsidRPr="00427976">
        <w:t>develo</w:t>
      </w:r>
      <w:r>
        <w:t>p</w:t>
      </w:r>
      <w:proofErr w:type="gramEnd"/>
      <w:r w:rsidRPr="00427976">
        <w:t xml:space="preserve"> strategies</w:t>
      </w:r>
      <w:r>
        <w:t xml:space="preserve"> for adjusting short term and long term expectations for emission rates for EGUs considering age, controls in use and fuel type on a unit by unit basis.</w:t>
      </w:r>
      <w:r w:rsidRPr="00427976">
        <w:t xml:space="preserve"> </w:t>
      </w:r>
    </w:p>
    <w:p w:rsidR="005438A3" w:rsidRPr="006E2472" w:rsidRDefault="005438A3" w:rsidP="005438A3">
      <w:pPr>
        <w:ind w:left="1080"/>
        <w:rPr>
          <w:rFonts w:cs="Arial"/>
        </w:rPr>
      </w:pPr>
    </w:p>
    <w:p w:rsidR="005438A3" w:rsidRPr="00712702" w:rsidRDefault="00FA1824" w:rsidP="005438A3">
      <w:r>
        <w:t xml:space="preserve">The Subgroup performed five inventory data analyses. </w:t>
      </w:r>
      <w:r w:rsidR="005438A3">
        <w:t xml:space="preserve">The results of </w:t>
      </w:r>
      <w:r>
        <w:t xml:space="preserve">two </w:t>
      </w:r>
      <w:r w:rsidR="005438A3">
        <w:t>analyses</w:t>
      </w:r>
      <w:r>
        <w:t>, a</w:t>
      </w:r>
      <w:r w:rsidR="005438A3">
        <w:t xml:space="preserve"> potential state-by-state EGU ozone season NOx budget</w:t>
      </w:r>
      <w:r w:rsidR="005438A3" w:rsidRPr="00252941">
        <w:t xml:space="preserve"> </w:t>
      </w:r>
      <w:r>
        <w:t>(</w:t>
      </w:r>
      <w:r w:rsidR="00257AA2">
        <w:t xml:space="preserve">Analysis 1); </w:t>
      </w:r>
      <w:r w:rsidR="005438A3">
        <w:t xml:space="preserve">and short term ozone season NOx emission rates </w:t>
      </w:r>
      <w:r w:rsidR="005438A3" w:rsidRPr="00431B78">
        <w:t xml:space="preserve">considering </w:t>
      </w:r>
      <w:r w:rsidR="005438A3">
        <w:t>RACT and allowing for adjustments based on state specific knowledge on a case by case basis</w:t>
      </w:r>
      <w:r>
        <w:t xml:space="preserve"> (</w:t>
      </w:r>
      <w:r w:rsidR="00257AA2">
        <w:t>Analysis 5)</w:t>
      </w:r>
      <w:r w:rsidR="005438A3" w:rsidRPr="00B301B7">
        <w:t xml:space="preserve"> </w:t>
      </w:r>
      <w:r w:rsidR="005438A3">
        <w:t xml:space="preserve">will be used as inputs to the Eastern Regional Technical Advisory </w:t>
      </w:r>
      <w:r w:rsidR="005438A3" w:rsidRPr="00712702">
        <w:t>Committee (ERTAC) modeling tool</w:t>
      </w:r>
      <w:r>
        <w:t xml:space="preserve"> to demonstrate the </w:t>
      </w:r>
      <w:r w:rsidR="00693FC5">
        <w:t>effect that these recommendations may have on air quality if adopted</w:t>
      </w:r>
      <w:r w:rsidR="005438A3" w:rsidRPr="00712702">
        <w:t xml:space="preserve">. </w:t>
      </w:r>
    </w:p>
    <w:p w:rsidR="005438A3" w:rsidRPr="00712702" w:rsidRDefault="005438A3" w:rsidP="005438A3"/>
    <w:p w:rsidR="005438A3" w:rsidRPr="00712702" w:rsidRDefault="005438A3" w:rsidP="005438A3">
      <w:pPr>
        <w:rPr>
          <w:noProof/>
        </w:rPr>
      </w:pPr>
      <w:r w:rsidRPr="00712702">
        <w:rPr>
          <w:noProof/>
        </w:rPr>
        <w:t xml:space="preserve">The Subgroup, with the assistance of SAS and the OTC Modeling Committee will </w:t>
      </w:r>
      <w:r w:rsidR="00776160" w:rsidRPr="00712702">
        <w:rPr>
          <w:noProof/>
        </w:rPr>
        <w:t>perform</w:t>
      </w:r>
      <w:r w:rsidRPr="00712702">
        <w:rPr>
          <w:noProof/>
        </w:rPr>
        <w:t xml:space="preserve"> additional cost-effectiveness and air quality impact analyses as necessary. The results of these analyses</w:t>
      </w:r>
      <w:r w:rsidRPr="00712702">
        <w:t xml:space="preserve"> may be used to make recommendations to the United States Environmental Protection Agency (EPA) for future EGU regulations.</w:t>
      </w:r>
    </w:p>
    <w:bookmarkEnd w:id="0"/>
    <w:p w:rsidR="00161774" w:rsidRPr="00B301B7" w:rsidRDefault="00161774" w:rsidP="00BA6513">
      <w:pPr>
        <w:rPr>
          <w:rFonts w:cs="Arial"/>
        </w:rPr>
      </w:pPr>
    </w:p>
    <w:p w:rsidR="00A42F8E" w:rsidRDefault="000569DC" w:rsidP="000569DC">
      <w:pPr>
        <w:numPr>
          <w:ilvl w:val="0"/>
          <w:numId w:val="32"/>
        </w:numPr>
        <w:ind w:left="360" w:hanging="360"/>
        <w:rPr>
          <w:rFonts w:cs="Arial"/>
          <w:b/>
        </w:rPr>
      </w:pPr>
      <w:r>
        <w:rPr>
          <w:rFonts w:cs="Arial"/>
          <w:b/>
        </w:rPr>
        <w:t xml:space="preserve"> </w:t>
      </w:r>
      <w:r w:rsidR="00A42F8E">
        <w:rPr>
          <w:rFonts w:cs="Arial"/>
          <w:b/>
        </w:rPr>
        <w:t xml:space="preserve">Project </w:t>
      </w:r>
      <w:r w:rsidR="009825DD">
        <w:rPr>
          <w:rFonts w:cs="Arial"/>
          <w:b/>
        </w:rPr>
        <w:t>Criteria</w:t>
      </w:r>
    </w:p>
    <w:p w:rsidR="00A42F8E" w:rsidRDefault="00A42F8E" w:rsidP="00BA6513">
      <w:pPr>
        <w:rPr>
          <w:rFonts w:cs="Arial"/>
          <w:b/>
        </w:rPr>
      </w:pPr>
    </w:p>
    <w:p w:rsidR="00A42F8E" w:rsidRDefault="00A42F8E" w:rsidP="00BA6513">
      <w:pPr>
        <w:rPr>
          <w:rFonts w:cs="Arial"/>
        </w:rPr>
      </w:pPr>
      <w:r>
        <w:rPr>
          <w:rFonts w:cs="Arial"/>
        </w:rPr>
        <w:t>The scope of this inventory</w:t>
      </w:r>
      <w:r w:rsidR="00381F55">
        <w:rPr>
          <w:rFonts w:cs="Arial"/>
        </w:rPr>
        <w:t xml:space="preserve"> analysis </w:t>
      </w:r>
      <w:r w:rsidR="00F344D9">
        <w:rPr>
          <w:rFonts w:cs="Arial"/>
        </w:rPr>
        <w:t xml:space="preserve">is </w:t>
      </w:r>
      <w:r w:rsidR="00381F55">
        <w:rPr>
          <w:rFonts w:cs="Arial"/>
        </w:rPr>
        <w:t>as follows:</w:t>
      </w:r>
    </w:p>
    <w:p w:rsidR="00A42F8E" w:rsidRDefault="00A42F8E" w:rsidP="00BA6513">
      <w:pPr>
        <w:rPr>
          <w:rFonts w:cs="Arial"/>
        </w:rPr>
      </w:pPr>
    </w:p>
    <w:p w:rsidR="00A42F8E" w:rsidRPr="005438A3" w:rsidRDefault="00A42F8E" w:rsidP="003952B2">
      <w:pPr>
        <w:numPr>
          <w:ilvl w:val="0"/>
          <w:numId w:val="1"/>
        </w:numPr>
        <w:rPr>
          <w:rFonts w:cs="Arial"/>
        </w:rPr>
      </w:pPr>
      <w:r>
        <w:rPr>
          <w:rFonts w:cs="Arial"/>
          <w:b/>
        </w:rPr>
        <w:t xml:space="preserve">Years:  </w:t>
      </w:r>
      <w:r w:rsidR="009621E6" w:rsidRPr="008A4F71">
        <w:rPr>
          <w:rFonts w:cs="Arial"/>
        </w:rPr>
        <w:t>The years</w:t>
      </w:r>
      <w:r w:rsidR="009621E6">
        <w:rPr>
          <w:rFonts w:cs="Arial"/>
          <w:b/>
        </w:rPr>
        <w:t xml:space="preserve"> </w:t>
      </w:r>
      <w:r>
        <w:rPr>
          <w:rFonts w:cs="Arial"/>
        </w:rPr>
        <w:t xml:space="preserve">2011 and 2012 </w:t>
      </w:r>
      <w:r w:rsidR="007464DF">
        <w:rPr>
          <w:rFonts w:cs="Arial"/>
        </w:rPr>
        <w:t xml:space="preserve">were </w:t>
      </w:r>
      <w:r w:rsidRPr="005438A3">
        <w:rPr>
          <w:rFonts w:cs="Arial"/>
        </w:rPr>
        <w:t>selected.</w:t>
      </w:r>
      <w:r w:rsidR="005656ED" w:rsidRPr="005438A3">
        <w:rPr>
          <w:rFonts w:cs="Arial"/>
          <w:b/>
        </w:rPr>
        <w:t xml:space="preserve">  </w:t>
      </w:r>
      <w:r w:rsidRPr="005438A3">
        <w:rPr>
          <w:rFonts w:cs="Arial"/>
        </w:rPr>
        <w:t xml:space="preserve">Data from the EPA’s Clean Air Markets Division (CAMD) </w:t>
      </w:r>
      <w:r w:rsidR="007464DF" w:rsidRPr="005438A3">
        <w:rPr>
          <w:rFonts w:cs="Arial"/>
        </w:rPr>
        <w:t>was</w:t>
      </w:r>
      <w:r w:rsidRPr="005438A3">
        <w:rPr>
          <w:rFonts w:cs="Arial"/>
        </w:rPr>
        <w:t xml:space="preserve"> available for both of these years</w:t>
      </w:r>
      <w:r w:rsidR="005656ED" w:rsidRPr="005438A3">
        <w:rPr>
          <w:rFonts w:cs="Arial"/>
          <w:b/>
        </w:rPr>
        <w:t xml:space="preserve">.  </w:t>
      </w:r>
      <w:r w:rsidR="005438A3" w:rsidRPr="005438A3">
        <w:t xml:space="preserve"> CAMD d</w:t>
      </w:r>
      <w:r w:rsidR="003952B2" w:rsidRPr="005438A3">
        <w:t xml:space="preserve">ata from </w:t>
      </w:r>
      <w:r w:rsidR="005438A3" w:rsidRPr="005438A3">
        <w:t xml:space="preserve">additional </w:t>
      </w:r>
      <w:r w:rsidR="00DC4BAE" w:rsidRPr="005438A3">
        <w:t xml:space="preserve">years </w:t>
      </w:r>
      <w:r w:rsidR="007464DF" w:rsidRPr="005438A3">
        <w:t>was review</w:t>
      </w:r>
      <w:r w:rsidR="009A50C9" w:rsidRPr="005438A3">
        <w:t>ed</w:t>
      </w:r>
      <w:r w:rsidR="007464DF" w:rsidRPr="005438A3">
        <w:t xml:space="preserve"> in order to</w:t>
      </w:r>
      <w:r w:rsidR="003952B2" w:rsidRPr="005438A3">
        <w:t xml:space="preserve"> </w:t>
      </w:r>
      <w:r w:rsidR="009A50C9" w:rsidRPr="005438A3">
        <w:t xml:space="preserve">fully evaluate </w:t>
      </w:r>
      <w:r w:rsidR="003952B2" w:rsidRPr="005438A3">
        <w:t xml:space="preserve">the 2011 and 2012 </w:t>
      </w:r>
      <w:r w:rsidR="005438A3" w:rsidRPr="005438A3">
        <w:t xml:space="preserve">CAMD </w:t>
      </w:r>
      <w:r w:rsidR="003952B2" w:rsidRPr="005438A3">
        <w:t>data.</w:t>
      </w:r>
      <w:r w:rsidR="003952B2" w:rsidRPr="005438A3">
        <w:rPr>
          <w:rFonts w:cs="Arial"/>
        </w:rPr>
        <w:t xml:space="preserve">  </w:t>
      </w:r>
      <w:r w:rsidRPr="005438A3">
        <w:rPr>
          <w:rFonts w:cs="Arial"/>
        </w:rPr>
        <w:t>CAMD</w:t>
      </w:r>
      <w:r w:rsidR="00C05ECC" w:rsidRPr="005438A3">
        <w:rPr>
          <w:rFonts w:cs="Arial"/>
        </w:rPr>
        <w:t xml:space="preserve"> data w</w:t>
      </w:r>
      <w:r w:rsidR="007464DF" w:rsidRPr="005438A3">
        <w:rPr>
          <w:rFonts w:cs="Arial"/>
        </w:rPr>
        <w:t>as</w:t>
      </w:r>
      <w:r w:rsidR="00C05ECC" w:rsidRPr="005438A3">
        <w:rPr>
          <w:rFonts w:cs="Arial"/>
        </w:rPr>
        <w:t xml:space="preserve"> supplemented with </w:t>
      </w:r>
      <w:r w:rsidR="00C05ECC" w:rsidRPr="005438A3">
        <w:t>d</w:t>
      </w:r>
      <w:r w:rsidR="00D44A6A" w:rsidRPr="005438A3">
        <w:t xml:space="preserve">ata from other sources (e.g., </w:t>
      </w:r>
      <w:r w:rsidR="0020094A" w:rsidRPr="005438A3">
        <w:t>United States Energy Information Administration (EIA),</w:t>
      </w:r>
      <w:r w:rsidR="00C05ECC" w:rsidRPr="005438A3">
        <w:t xml:space="preserve"> etc</w:t>
      </w:r>
      <w:r w:rsidR="00D44A6A" w:rsidRPr="005438A3">
        <w:t>.</w:t>
      </w:r>
      <w:r w:rsidR="00C05ECC" w:rsidRPr="005438A3">
        <w:t>) and state inventory data where appropriate and as needed.</w:t>
      </w:r>
      <w:r w:rsidR="005656ED" w:rsidRPr="005438A3">
        <w:t xml:space="preserve"> </w:t>
      </w:r>
      <w:r w:rsidR="0020094A" w:rsidRPr="005438A3">
        <w:t xml:space="preserve">The year </w:t>
      </w:r>
      <w:r w:rsidR="005656ED" w:rsidRPr="005438A3">
        <w:t>2011 was selected as the baseline year and also used as the primary year of data collection for the state level</w:t>
      </w:r>
      <w:r w:rsidR="007464DF" w:rsidRPr="005438A3">
        <w:t xml:space="preserve"> ozone season</w:t>
      </w:r>
      <w:r w:rsidR="005656ED" w:rsidRPr="005438A3">
        <w:t xml:space="preserve"> NOx mass emissions evaluation</w:t>
      </w:r>
      <w:r w:rsidR="007464DF" w:rsidRPr="005438A3">
        <w:t xml:space="preserve"> and state level ozone season NOx emission rate evaluation. </w:t>
      </w:r>
    </w:p>
    <w:p w:rsidR="00A42F8E" w:rsidRPr="00700DF9" w:rsidRDefault="00A42F8E" w:rsidP="00A42F8E">
      <w:pPr>
        <w:ind w:left="360"/>
        <w:rPr>
          <w:rFonts w:cs="Arial"/>
        </w:rPr>
      </w:pPr>
    </w:p>
    <w:p w:rsidR="00A42F8E" w:rsidRPr="00B865BD" w:rsidRDefault="00A42F8E" w:rsidP="00A42F8E">
      <w:pPr>
        <w:numPr>
          <w:ilvl w:val="0"/>
          <w:numId w:val="1"/>
        </w:numPr>
        <w:rPr>
          <w:rFonts w:cs="Arial"/>
          <w:b/>
        </w:rPr>
      </w:pPr>
      <w:r w:rsidRPr="00A42F8E">
        <w:rPr>
          <w:rFonts w:cs="Arial"/>
          <w:b/>
        </w:rPr>
        <w:t>Geographic Area:</w:t>
      </w:r>
      <w:r>
        <w:rPr>
          <w:rFonts w:cs="Arial"/>
          <w:b/>
        </w:rPr>
        <w:t xml:space="preserve">  </w:t>
      </w:r>
      <w:r>
        <w:rPr>
          <w:rFonts w:cs="Arial"/>
        </w:rPr>
        <w:t>This analysis w</w:t>
      </w:r>
      <w:r w:rsidR="007464DF">
        <w:rPr>
          <w:rFonts w:cs="Arial"/>
        </w:rPr>
        <w:t>as</w:t>
      </w:r>
      <w:r>
        <w:rPr>
          <w:rFonts w:cs="Arial"/>
        </w:rPr>
        <w:t xml:space="preserve"> </w:t>
      </w:r>
      <w:r w:rsidR="007464DF">
        <w:rPr>
          <w:rFonts w:cs="Arial"/>
        </w:rPr>
        <w:t>performed</w:t>
      </w:r>
      <w:r>
        <w:rPr>
          <w:rFonts w:cs="Arial"/>
        </w:rPr>
        <w:t xml:space="preserve"> for all</w:t>
      </w:r>
      <w:r w:rsidR="007106F9">
        <w:rPr>
          <w:rFonts w:cs="Arial"/>
        </w:rPr>
        <w:t xml:space="preserve"> </w:t>
      </w:r>
      <w:r w:rsidR="0044230F">
        <w:rPr>
          <w:rFonts w:cs="Arial"/>
        </w:rPr>
        <w:t xml:space="preserve">states </w:t>
      </w:r>
      <w:r w:rsidR="007106F9">
        <w:rPr>
          <w:rFonts w:cs="Arial"/>
        </w:rPr>
        <w:t>in the OTR</w:t>
      </w:r>
      <w:r w:rsidR="00B865BD">
        <w:rPr>
          <w:rFonts w:cs="Arial"/>
        </w:rPr>
        <w:t>: Connecticut, Delaware, District of Columbia, Maine</w:t>
      </w:r>
      <w:r w:rsidR="00381F55">
        <w:rPr>
          <w:rFonts w:cs="Arial"/>
        </w:rPr>
        <w:t>,</w:t>
      </w:r>
      <w:r w:rsidR="00B865BD">
        <w:rPr>
          <w:rFonts w:cs="Arial"/>
        </w:rPr>
        <w:t xml:space="preserve"> Maryland, Massachusetts, </w:t>
      </w:r>
      <w:r w:rsidR="00B865BD">
        <w:rPr>
          <w:rFonts w:cs="Arial"/>
        </w:rPr>
        <w:lastRenderedPageBreak/>
        <w:t>New Hampshire, New Jersey, New York, Pennsylvania, Rhode Island, Vermont, and Virginia.  This analysis w</w:t>
      </w:r>
      <w:r w:rsidR="007464DF">
        <w:rPr>
          <w:rFonts w:cs="Arial"/>
        </w:rPr>
        <w:t>as also performed</w:t>
      </w:r>
      <w:r w:rsidR="00B865BD">
        <w:rPr>
          <w:rFonts w:cs="Arial"/>
        </w:rPr>
        <w:t xml:space="preserve"> to the extent </w:t>
      </w:r>
      <w:r w:rsidR="007106F9">
        <w:rPr>
          <w:rFonts w:cs="Arial"/>
        </w:rPr>
        <w:t xml:space="preserve">of available </w:t>
      </w:r>
      <w:r w:rsidR="00B865BD">
        <w:rPr>
          <w:rFonts w:cs="Arial"/>
        </w:rPr>
        <w:t>data for all Clean Air Interstate Rule (CAIR) states</w:t>
      </w:r>
      <w:r w:rsidR="009A50C9">
        <w:rPr>
          <w:rFonts w:cs="Arial"/>
        </w:rPr>
        <w:t>,</w:t>
      </w:r>
      <w:r w:rsidR="00164BF7">
        <w:rPr>
          <w:rFonts w:cs="Arial"/>
        </w:rPr>
        <w:t xml:space="preserve"> </w:t>
      </w:r>
      <w:r w:rsidR="00B865BD">
        <w:rPr>
          <w:rFonts w:cs="Arial"/>
        </w:rPr>
        <w:t>all st</w:t>
      </w:r>
      <w:r w:rsidR="0044230F">
        <w:rPr>
          <w:rFonts w:cs="Arial"/>
        </w:rPr>
        <w:t xml:space="preserve">ates identified in the </w:t>
      </w:r>
      <w:r w:rsidR="00B865BD">
        <w:rPr>
          <w:rFonts w:cs="Arial"/>
        </w:rPr>
        <w:t>Cross-State Air Pollution Rule (CSAPR)</w:t>
      </w:r>
      <w:r w:rsidR="00164BF7">
        <w:rPr>
          <w:rFonts w:cs="Arial"/>
        </w:rPr>
        <w:t>,</w:t>
      </w:r>
      <w:r w:rsidR="00B865BD">
        <w:rPr>
          <w:rFonts w:cs="Arial"/>
        </w:rPr>
        <w:t xml:space="preserve"> </w:t>
      </w:r>
      <w:r w:rsidR="00F344D9">
        <w:rPr>
          <w:rFonts w:cs="Arial"/>
        </w:rPr>
        <w:t>and all</w:t>
      </w:r>
      <w:r w:rsidR="00B865BD">
        <w:rPr>
          <w:rFonts w:cs="Arial"/>
        </w:rPr>
        <w:t xml:space="preserve"> states included in the current OTC Modeling domain.</w:t>
      </w:r>
    </w:p>
    <w:p w:rsidR="00B865BD" w:rsidRDefault="00B865BD" w:rsidP="00B865BD">
      <w:pPr>
        <w:rPr>
          <w:rFonts w:cs="Arial"/>
          <w:b/>
        </w:rPr>
      </w:pPr>
    </w:p>
    <w:p w:rsidR="006F5D44" w:rsidRPr="006F5D44" w:rsidRDefault="009C564B" w:rsidP="00831F31">
      <w:pPr>
        <w:numPr>
          <w:ilvl w:val="0"/>
          <w:numId w:val="1"/>
        </w:numPr>
        <w:rPr>
          <w:rFonts w:cs="Arial"/>
          <w:b/>
        </w:rPr>
      </w:pPr>
      <w:r>
        <w:rPr>
          <w:rFonts w:cs="Arial"/>
          <w:b/>
        </w:rPr>
        <w:t>Inventory Sector:</w:t>
      </w:r>
      <w:r w:rsidR="00831F31">
        <w:rPr>
          <w:rFonts w:cs="Arial"/>
          <w:b/>
        </w:rPr>
        <w:t xml:space="preserve">  </w:t>
      </w:r>
      <w:r>
        <w:rPr>
          <w:rFonts w:cs="Arial"/>
        </w:rPr>
        <w:t>This analysis w</w:t>
      </w:r>
      <w:r w:rsidR="00831F31">
        <w:rPr>
          <w:rFonts w:cs="Arial"/>
        </w:rPr>
        <w:t xml:space="preserve">as performed </w:t>
      </w:r>
      <w:r>
        <w:rPr>
          <w:rFonts w:cs="Arial"/>
        </w:rPr>
        <w:t>for all EGUs included in EPA’s CAMD database for</w:t>
      </w:r>
      <w:r w:rsidR="00831F31">
        <w:rPr>
          <w:rFonts w:cs="Arial"/>
        </w:rPr>
        <w:t xml:space="preserve"> </w:t>
      </w:r>
      <w:r>
        <w:rPr>
          <w:rFonts w:cs="Arial"/>
        </w:rPr>
        <w:t>the following EPA programs: Acid Rain (ARP), CAIR, CSAPR,</w:t>
      </w:r>
      <w:r w:rsidRPr="00D2231E">
        <w:rPr>
          <w:rFonts w:cs="Arial"/>
        </w:rPr>
        <w:t xml:space="preserve"> </w:t>
      </w:r>
      <w:r>
        <w:t>and</w:t>
      </w:r>
      <w:r w:rsidR="00657CB7">
        <w:t xml:space="preserve"> </w:t>
      </w:r>
      <w:r w:rsidRPr="00D2231E">
        <w:t xml:space="preserve">NOx </w:t>
      </w:r>
      <w:r>
        <w:t>State Implementation Plan (</w:t>
      </w:r>
      <w:r w:rsidRPr="00D2231E">
        <w:t>SIP</w:t>
      </w:r>
      <w:r>
        <w:t>)</w:t>
      </w:r>
      <w:r w:rsidRPr="00D2231E">
        <w:t xml:space="preserve"> Call program, where applicable.</w:t>
      </w:r>
      <w:r>
        <w:t xml:space="preserve">  </w:t>
      </w:r>
      <w:r w:rsidR="00D2231E" w:rsidRPr="00D2231E">
        <w:t xml:space="preserve">Other data sources </w:t>
      </w:r>
      <w:r w:rsidR="00831F31">
        <w:t>were</w:t>
      </w:r>
      <w:r w:rsidR="00D2231E" w:rsidRPr="00D2231E">
        <w:t xml:space="preserve"> re</w:t>
      </w:r>
      <w:r w:rsidR="00831F31">
        <w:t>viewed</w:t>
      </w:r>
      <w:r w:rsidR="00D2231E" w:rsidRPr="00D2231E">
        <w:t xml:space="preserve"> </w:t>
      </w:r>
      <w:r w:rsidR="00DC4BAE">
        <w:t xml:space="preserve">where necessary to supplement </w:t>
      </w:r>
      <w:r w:rsidR="00D2231E" w:rsidRPr="00D2231E">
        <w:t>EPA’s CAMD data.</w:t>
      </w:r>
    </w:p>
    <w:p w:rsidR="003C3AB8" w:rsidRDefault="003C3AB8" w:rsidP="006F5D44">
      <w:pPr>
        <w:ind w:left="720"/>
        <w:rPr>
          <w:rFonts w:cs="Arial"/>
        </w:rPr>
      </w:pPr>
    </w:p>
    <w:p w:rsidR="006F5D44" w:rsidRDefault="006F5D44" w:rsidP="006F5D44">
      <w:pPr>
        <w:ind w:left="720"/>
        <w:rPr>
          <w:rFonts w:cs="Arial"/>
        </w:rPr>
      </w:pPr>
      <w:r>
        <w:rPr>
          <w:rFonts w:cs="Arial"/>
        </w:rPr>
        <w:t xml:space="preserve">For the purposes of the </w:t>
      </w:r>
      <w:r>
        <w:t xml:space="preserve">state-by-state EGU </w:t>
      </w:r>
      <w:r w:rsidR="00831F31">
        <w:t xml:space="preserve">ozone season </w:t>
      </w:r>
      <w:r>
        <w:t xml:space="preserve">NOx budget analyses only </w:t>
      </w:r>
      <w:r w:rsidR="0020094A">
        <w:t xml:space="preserve">EGUs with capacities </w:t>
      </w:r>
      <w:r w:rsidR="009C564B">
        <w:t>of 25</w:t>
      </w:r>
      <w:r w:rsidR="00DC27D4">
        <w:t xml:space="preserve"> </w:t>
      </w:r>
      <w:r w:rsidR="0020094A">
        <w:t>Megawatts</w:t>
      </w:r>
      <w:r>
        <w:t xml:space="preserve"> </w:t>
      </w:r>
      <w:r w:rsidR="0020094A">
        <w:t>(</w:t>
      </w:r>
      <w:r>
        <w:t>MW</w:t>
      </w:r>
      <w:r w:rsidR="0020094A">
        <w:t>)</w:t>
      </w:r>
      <w:r>
        <w:t xml:space="preserve"> or greater found in </w:t>
      </w:r>
      <w:r>
        <w:rPr>
          <w:rFonts w:cs="Arial"/>
        </w:rPr>
        <w:t>EPA’s CAMD database w</w:t>
      </w:r>
      <w:r w:rsidR="00831F31">
        <w:rPr>
          <w:rFonts w:cs="Arial"/>
        </w:rPr>
        <w:t xml:space="preserve">ere </w:t>
      </w:r>
      <w:r>
        <w:rPr>
          <w:rFonts w:cs="Arial"/>
        </w:rPr>
        <w:t>included.</w:t>
      </w:r>
      <w:r w:rsidR="00164BF7">
        <w:rPr>
          <w:rFonts w:cs="Arial"/>
        </w:rPr>
        <w:t xml:space="preserve"> EGU nameplate rating data was obtained from the EIA database as needed.</w:t>
      </w:r>
    </w:p>
    <w:p w:rsidR="00831F31" w:rsidRDefault="00831F31" w:rsidP="006F5D44">
      <w:pPr>
        <w:ind w:left="720"/>
        <w:rPr>
          <w:rFonts w:cs="Arial"/>
        </w:rPr>
      </w:pPr>
    </w:p>
    <w:p w:rsidR="006F5D44" w:rsidRPr="006F5D44" w:rsidRDefault="006F5D44" w:rsidP="006F5D44">
      <w:pPr>
        <w:ind w:left="720"/>
        <w:rPr>
          <w:rFonts w:cs="Arial"/>
        </w:rPr>
      </w:pPr>
      <w:r>
        <w:rPr>
          <w:rFonts w:cs="Arial"/>
        </w:rPr>
        <w:t xml:space="preserve">For the purposes of the </w:t>
      </w:r>
      <w:r>
        <w:t xml:space="preserve">daily </w:t>
      </w:r>
      <w:r w:rsidR="0020094A">
        <w:t xml:space="preserve">ozone </w:t>
      </w:r>
      <w:r>
        <w:t xml:space="preserve">season NOx emission rate analyses all units reporting to </w:t>
      </w:r>
      <w:r w:rsidR="00652839">
        <w:rPr>
          <w:rFonts w:cs="Arial"/>
        </w:rPr>
        <w:t>EPA’s CAMD database w</w:t>
      </w:r>
      <w:r w:rsidR="00831F31">
        <w:rPr>
          <w:rFonts w:cs="Arial"/>
        </w:rPr>
        <w:t>ere</w:t>
      </w:r>
      <w:r w:rsidR="00652839">
        <w:rPr>
          <w:rFonts w:cs="Arial"/>
        </w:rPr>
        <w:t xml:space="preserve"> included.</w:t>
      </w:r>
    </w:p>
    <w:p w:rsidR="004C4C6D" w:rsidRDefault="004C4C6D" w:rsidP="004C4C6D">
      <w:pPr>
        <w:rPr>
          <w:rFonts w:cs="Arial"/>
          <w:b/>
          <w:color w:val="FF0000"/>
        </w:rPr>
      </w:pPr>
    </w:p>
    <w:p w:rsidR="00DD74F7" w:rsidRPr="00A160EC" w:rsidRDefault="00DD74F7" w:rsidP="00DC27D4">
      <w:pPr>
        <w:numPr>
          <w:ilvl w:val="0"/>
          <w:numId w:val="12"/>
        </w:numPr>
        <w:rPr>
          <w:rFonts w:cs="Arial"/>
          <w:b/>
        </w:rPr>
      </w:pPr>
      <w:r w:rsidRPr="00A160EC">
        <w:rPr>
          <w:rFonts w:cs="Arial"/>
          <w:b/>
        </w:rPr>
        <w:t>Pollutant considered:</w:t>
      </w:r>
      <w:r w:rsidR="00201F51">
        <w:rPr>
          <w:rFonts w:cs="Arial"/>
        </w:rPr>
        <w:t xml:space="preserve"> Nitrogen Oxides (N</w:t>
      </w:r>
      <w:r w:rsidRPr="00A160EC">
        <w:rPr>
          <w:rFonts w:cs="Arial"/>
        </w:rPr>
        <w:t>Ox</w:t>
      </w:r>
      <w:r w:rsidR="00201F51">
        <w:rPr>
          <w:rFonts w:cs="Arial"/>
        </w:rPr>
        <w:t>)</w:t>
      </w:r>
      <w:r w:rsidR="00831F31">
        <w:rPr>
          <w:rFonts w:cs="Arial"/>
        </w:rPr>
        <w:t xml:space="preserve"> was the air pollutant considered.</w:t>
      </w:r>
    </w:p>
    <w:p w:rsidR="00675D59" w:rsidRDefault="00675D59" w:rsidP="004C4C6D">
      <w:pPr>
        <w:rPr>
          <w:rFonts w:cs="Arial"/>
          <w:b/>
        </w:rPr>
      </w:pPr>
    </w:p>
    <w:p w:rsidR="000651FC" w:rsidRDefault="000651FC" w:rsidP="004C4C6D">
      <w:pPr>
        <w:rPr>
          <w:rFonts w:cs="Arial"/>
          <w:b/>
        </w:rPr>
      </w:pPr>
    </w:p>
    <w:p w:rsidR="004C4C6D" w:rsidRDefault="004C4C6D" w:rsidP="007F2B0A">
      <w:pPr>
        <w:numPr>
          <w:ilvl w:val="0"/>
          <w:numId w:val="32"/>
        </w:numPr>
        <w:ind w:left="360" w:hanging="360"/>
        <w:rPr>
          <w:rFonts w:cs="Arial"/>
          <w:b/>
        </w:rPr>
      </w:pPr>
      <w:r w:rsidRPr="004C4C6D">
        <w:rPr>
          <w:rFonts w:cs="Arial"/>
          <w:b/>
        </w:rPr>
        <w:t>Technical Approach</w:t>
      </w:r>
    </w:p>
    <w:p w:rsidR="004C4C6D" w:rsidRDefault="004C4C6D" w:rsidP="004C4C6D">
      <w:pPr>
        <w:rPr>
          <w:rFonts w:cs="Arial"/>
          <w:b/>
        </w:rPr>
      </w:pPr>
    </w:p>
    <w:p w:rsidR="00057F22" w:rsidRPr="00AD270B" w:rsidRDefault="00DC2F68" w:rsidP="004C4C6D">
      <w:pPr>
        <w:rPr>
          <w:rFonts w:cs="Arial"/>
          <w:u w:val="single"/>
        </w:rPr>
      </w:pPr>
      <w:r>
        <w:rPr>
          <w:rFonts w:cs="Arial"/>
          <w:u w:val="single"/>
        </w:rPr>
        <w:t>Unit-</w:t>
      </w:r>
      <w:r w:rsidR="00057F22" w:rsidRPr="00AD270B">
        <w:rPr>
          <w:rFonts w:cs="Arial"/>
          <w:u w:val="single"/>
        </w:rPr>
        <w:t xml:space="preserve">level </w:t>
      </w:r>
      <w:r w:rsidR="009825DD">
        <w:rPr>
          <w:rFonts w:cs="Arial"/>
          <w:u w:val="single"/>
        </w:rPr>
        <w:t xml:space="preserve">Criteria for </w:t>
      </w:r>
      <w:r w:rsidR="00057F22" w:rsidRPr="00AD270B">
        <w:rPr>
          <w:rFonts w:cs="Arial"/>
          <w:u w:val="single"/>
        </w:rPr>
        <w:t>NOx emissions</w:t>
      </w:r>
      <w:r w:rsidR="009825DD">
        <w:rPr>
          <w:rFonts w:cs="Arial"/>
          <w:u w:val="single"/>
        </w:rPr>
        <w:t xml:space="preserve"> </w:t>
      </w:r>
    </w:p>
    <w:p w:rsidR="00057F22" w:rsidRDefault="00057F22" w:rsidP="004C4C6D">
      <w:pPr>
        <w:rPr>
          <w:rFonts w:cs="Arial"/>
        </w:rPr>
      </w:pPr>
    </w:p>
    <w:p w:rsidR="004C4C6D" w:rsidRDefault="004C4C6D" w:rsidP="004C4C6D">
      <w:pPr>
        <w:rPr>
          <w:rFonts w:cs="Arial"/>
        </w:rPr>
      </w:pPr>
      <w:r>
        <w:rPr>
          <w:rFonts w:cs="Arial"/>
        </w:rPr>
        <w:t>The 2011 and 2012 unit level NOx</w:t>
      </w:r>
      <w:r w:rsidR="006F13F4">
        <w:rPr>
          <w:rFonts w:cs="Arial"/>
        </w:rPr>
        <w:t xml:space="preserve"> emissions </w:t>
      </w:r>
      <w:r w:rsidR="009825DD">
        <w:rPr>
          <w:rFonts w:cs="Arial"/>
        </w:rPr>
        <w:t xml:space="preserve">(mass and rate) </w:t>
      </w:r>
      <w:r w:rsidR="006F13F4">
        <w:rPr>
          <w:rFonts w:cs="Arial"/>
        </w:rPr>
        <w:t>w</w:t>
      </w:r>
      <w:r w:rsidR="00831F31">
        <w:rPr>
          <w:rFonts w:cs="Arial"/>
        </w:rPr>
        <w:t xml:space="preserve">ere </w:t>
      </w:r>
      <w:r w:rsidR="00063F2D">
        <w:rPr>
          <w:rFonts w:cs="Arial"/>
        </w:rPr>
        <w:t xml:space="preserve">obtained </w:t>
      </w:r>
      <w:r w:rsidR="00F60D11">
        <w:rPr>
          <w:rFonts w:cs="Arial"/>
        </w:rPr>
        <w:t>from</w:t>
      </w:r>
      <w:r>
        <w:rPr>
          <w:rFonts w:cs="Arial"/>
        </w:rPr>
        <w:t xml:space="preserve"> CAMD </w:t>
      </w:r>
      <w:r w:rsidR="00F60D11">
        <w:rPr>
          <w:rFonts w:cs="Arial"/>
        </w:rPr>
        <w:t xml:space="preserve">for </w:t>
      </w:r>
      <w:r>
        <w:rPr>
          <w:rFonts w:cs="Arial"/>
        </w:rPr>
        <w:t>ARP, CAIR</w:t>
      </w:r>
      <w:r w:rsidR="006F13F4">
        <w:rPr>
          <w:rFonts w:cs="Arial"/>
        </w:rPr>
        <w:t>,</w:t>
      </w:r>
      <w:r>
        <w:rPr>
          <w:rFonts w:cs="Arial"/>
        </w:rPr>
        <w:t xml:space="preserve"> and CSAPR reported units.  The foll</w:t>
      </w:r>
      <w:r w:rsidR="00FE0223">
        <w:rPr>
          <w:rFonts w:cs="Arial"/>
        </w:rPr>
        <w:t>owing</w:t>
      </w:r>
      <w:r>
        <w:rPr>
          <w:rFonts w:cs="Arial"/>
        </w:rPr>
        <w:t xml:space="preserve"> Excel spreadsheets w</w:t>
      </w:r>
      <w:r w:rsidR="00831F31">
        <w:rPr>
          <w:rFonts w:cs="Arial"/>
        </w:rPr>
        <w:t>ere</w:t>
      </w:r>
      <w:r>
        <w:rPr>
          <w:rFonts w:cs="Arial"/>
        </w:rPr>
        <w:t xml:space="preserve"> created</w:t>
      </w:r>
      <w:r w:rsidR="00607188">
        <w:rPr>
          <w:rFonts w:cs="Arial"/>
        </w:rPr>
        <w:t xml:space="preserve"> and summarized by state in each spreadsheet</w:t>
      </w:r>
      <w:r>
        <w:rPr>
          <w:rFonts w:cs="Arial"/>
        </w:rPr>
        <w:t>:</w:t>
      </w:r>
    </w:p>
    <w:p w:rsidR="00FE0223" w:rsidRDefault="00FE0223" w:rsidP="004C4C6D">
      <w:pPr>
        <w:rPr>
          <w:rFonts w:cs="Arial"/>
        </w:rPr>
      </w:pPr>
    </w:p>
    <w:p w:rsidR="004C4C6D" w:rsidRDefault="004C4C6D" w:rsidP="00831F31">
      <w:pPr>
        <w:numPr>
          <w:ilvl w:val="0"/>
          <w:numId w:val="2"/>
        </w:numPr>
        <w:rPr>
          <w:rFonts w:cs="Arial"/>
        </w:rPr>
      </w:pPr>
      <w:r>
        <w:rPr>
          <w:rFonts w:cs="Arial"/>
        </w:rPr>
        <w:t>2011 Ozone Season NOx</w:t>
      </w:r>
    </w:p>
    <w:p w:rsidR="00FE0223" w:rsidRDefault="00FE0223" w:rsidP="004C4C6D">
      <w:pPr>
        <w:numPr>
          <w:ilvl w:val="0"/>
          <w:numId w:val="2"/>
        </w:numPr>
        <w:rPr>
          <w:rFonts w:cs="Arial"/>
        </w:rPr>
      </w:pPr>
      <w:r>
        <w:rPr>
          <w:rFonts w:cs="Arial"/>
        </w:rPr>
        <w:t>2011</w:t>
      </w:r>
      <w:r w:rsidRPr="00FE0223">
        <w:rPr>
          <w:rFonts w:cs="Arial"/>
        </w:rPr>
        <w:t xml:space="preserve"> </w:t>
      </w:r>
      <w:r>
        <w:rPr>
          <w:rFonts w:cs="Arial"/>
        </w:rPr>
        <w:t>High Ozone Episode NOx (hourly and daily</w:t>
      </w:r>
      <w:r w:rsidR="000C5C42">
        <w:rPr>
          <w:rFonts w:cs="Arial"/>
        </w:rPr>
        <w:t>,</w:t>
      </w:r>
      <w:r>
        <w:rPr>
          <w:rFonts w:cs="Arial"/>
        </w:rPr>
        <w:t xml:space="preserve"> as available)</w:t>
      </w:r>
    </w:p>
    <w:p w:rsidR="00FE0223" w:rsidRDefault="00FE0223" w:rsidP="00831F31">
      <w:pPr>
        <w:numPr>
          <w:ilvl w:val="0"/>
          <w:numId w:val="2"/>
        </w:numPr>
        <w:rPr>
          <w:rFonts w:cs="Arial"/>
        </w:rPr>
      </w:pPr>
      <w:r>
        <w:rPr>
          <w:rFonts w:cs="Arial"/>
        </w:rPr>
        <w:t xml:space="preserve">2012 Ozone Season NOx </w:t>
      </w:r>
    </w:p>
    <w:p w:rsidR="004C4C6D" w:rsidRDefault="004C4C6D" w:rsidP="00FE0223">
      <w:pPr>
        <w:numPr>
          <w:ilvl w:val="0"/>
          <w:numId w:val="2"/>
        </w:numPr>
        <w:rPr>
          <w:rFonts w:cs="Arial"/>
        </w:rPr>
      </w:pPr>
      <w:r>
        <w:rPr>
          <w:rFonts w:cs="Arial"/>
        </w:rPr>
        <w:t xml:space="preserve">2012 </w:t>
      </w:r>
      <w:r w:rsidR="00FE0223">
        <w:rPr>
          <w:rFonts w:cs="Arial"/>
        </w:rPr>
        <w:t>High Ozone Episode</w:t>
      </w:r>
      <w:r>
        <w:rPr>
          <w:rFonts w:cs="Arial"/>
        </w:rPr>
        <w:t xml:space="preserve"> NOx </w:t>
      </w:r>
      <w:r w:rsidR="00FE0223">
        <w:rPr>
          <w:rFonts w:cs="Arial"/>
        </w:rPr>
        <w:t>(hourly and daily</w:t>
      </w:r>
      <w:r w:rsidR="000C5C42">
        <w:rPr>
          <w:rFonts w:cs="Arial"/>
        </w:rPr>
        <w:t>,</w:t>
      </w:r>
      <w:r w:rsidR="00FE0223">
        <w:rPr>
          <w:rFonts w:cs="Arial"/>
        </w:rPr>
        <w:t xml:space="preserve"> as available)</w:t>
      </w:r>
    </w:p>
    <w:p w:rsidR="003C4B1C" w:rsidRDefault="003C4B1C" w:rsidP="003C4B1C">
      <w:pPr>
        <w:rPr>
          <w:rFonts w:cs="Arial"/>
        </w:rPr>
      </w:pPr>
    </w:p>
    <w:p w:rsidR="003C4B1C" w:rsidRDefault="003C4B1C" w:rsidP="003C4B1C">
      <w:pPr>
        <w:rPr>
          <w:rFonts w:cs="Arial"/>
        </w:rPr>
      </w:pPr>
    </w:p>
    <w:p w:rsidR="003C4B1C" w:rsidRDefault="00DC2F68" w:rsidP="003C4B1C">
      <w:pPr>
        <w:rPr>
          <w:rFonts w:cs="Arial"/>
        </w:rPr>
      </w:pPr>
      <w:r>
        <w:rPr>
          <w:rFonts w:cs="Arial"/>
        </w:rPr>
        <w:t>Unit-</w:t>
      </w:r>
      <w:r w:rsidR="003C4B1C">
        <w:rPr>
          <w:rFonts w:cs="Arial"/>
        </w:rPr>
        <w:t>level data elements</w:t>
      </w:r>
      <w:r w:rsidR="006B6BE8">
        <w:rPr>
          <w:rFonts w:cs="Arial"/>
        </w:rPr>
        <w:t xml:space="preserve"> </w:t>
      </w:r>
      <w:r w:rsidR="003C4B1C">
        <w:rPr>
          <w:rFonts w:cs="Arial"/>
        </w:rPr>
        <w:t>include:</w:t>
      </w:r>
    </w:p>
    <w:p w:rsidR="003C4B1C" w:rsidRDefault="003C4B1C" w:rsidP="003C4B1C">
      <w:pPr>
        <w:numPr>
          <w:ilvl w:val="0"/>
          <w:numId w:val="3"/>
        </w:numPr>
        <w:rPr>
          <w:rFonts w:cs="Arial"/>
        </w:rPr>
      </w:pPr>
      <w:r>
        <w:rPr>
          <w:rFonts w:cs="Arial"/>
        </w:rPr>
        <w:t>State name</w:t>
      </w:r>
    </w:p>
    <w:p w:rsidR="003C4B1C" w:rsidRDefault="003C4B1C" w:rsidP="003C4B1C">
      <w:pPr>
        <w:numPr>
          <w:ilvl w:val="0"/>
          <w:numId w:val="3"/>
        </w:numPr>
        <w:rPr>
          <w:rFonts w:cs="Arial"/>
        </w:rPr>
      </w:pPr>
      <w:r>
        <w:rPr>
          <w:rFonts w:cs="Arial"/>
        </w:rPr>
        <w:t>Facility name</w:t>
      </w:r>
    </w:p>
    <w:p w:rsidR="003C4B1C" w:rsidRDefault="003C4B1C" w:rsidP="003C4B1C">
      <w:pPr>
        <w:numPr>
          <w:ilvl w:val="0"/>
          <w:numId w:val="3"/>
        </w:numPr>
        <w:rPr>
          <w:rFonts w:cs="Arial"/>
        </w:rPr>
      </w:pPr>
      <w:r>
        <w:rPr>
          <w:rFonts w:cs="Arial"/>
        </w:rPr>
        <w:t>Facility ID</w:t>
      </w:r>
    </w:p>
    <w:p w:rsidR="003C4B1C" w:rsidRDefault="003C4B1C" w:rsidP="003C4B1C">
      <w:pPr>
        <w:numPr>
          <w:ilvl w:val="0"/>
          <w:numId w:val="3"/>
        </w:numPr>
        <w:rPr>
          <w:rFonts w:cs="Arial"/>
        </w:rPr>
      </w:pPr>
      <w:r>
        <w:rPr>
          <w:rFonts w:cs="Arial"/>
        </w:rPr>
        <w:t>Unit ID</w:t>
      </w:r>
    </w:p>
    <w:p w:rsidR="003B5EB1" w:rsidRPr="00AD270B" w:rsidRDefault="003B5EB1" w:rsidP="00AD270B">
      <w:pPr>
        <w:numPr>
          <w:ilvl w:val="0"/>
          <w:numId w:val="3"/>
        </w:numPr>
        <w:rPr>
          <w:rFonts w:cs="Arial"/>
        </w:rPr>
      </w:pPr>
      <w:r>
        <w:rPr>
          <w:rFonts w:cs="Arial"/>
        </w:rPr>
        <w:t>NOx emissions (tons)</w:t>
      </w:r>
    </w:p>
    <w:p w:rsidR="003C4B1C" w:rsidRPr="007679C4" w:rsidRDefault="003C4B1C" w:rsidP="003C4B1C">
      <w:pPr>
        <w:numPr>
          <w:ilvl w:val="0"/>
          <w:numId w:val="3"/>
        </w:numPr>
        <w:rPr>
          <w:rFonts w:cs="Arial"/>
        </w:rPr>
      </w:pPr>
      <w:r>
        <w:rPr>
          <w:rFonts w:cs="Arial"/>
        </w:rPr>
        <w:t>NOx Rate (lb/mmBtu)</w:t>
      </w:r>
      <w:r w:rsidR="007679C4" w:rsidRPr="00CB0C32">
        <w:rPr>
          <w:rFonts w:cs="Arial"/>
        </w:rPr>
        <w:t xml:space="preserve"> reported</w:t>
      </w:r>
    </w:p>
    <w:p w:rsidR="007679C4" w:rsidRDefault="007679C4" w:rsidP="003C4B1C">
      <w:pPr>
        <w:numPr>
          <w:ilvl w:val="0"/>
          <w:numId w:val="3"/>
        </w:numPr>
        <w:rPr>
          <w:rFonts w:cs="Arial"/>
        </w:rPr>
      </w:pPr>
      <w:r w:rsidRPr="00CB0C32">
        <w:rPr>
          <w:rFonts w:cs="Arial"/>
        </w:rPr>
        <w:t>NOx Rate (lb/mmBtu) calculated</w:t>
      </w:r>
    </w:p>
    <w:p w:rsidR="00652839" w:rsidRPr="00CB0C32" w:rsidRDefault="00652839" w:rsidP="003C4B1C">
      <w:pPr>
        <w:numPr>
          <w:ilvl w:val="0"/>
          <w:numId w:val="3"/>
        </w:numPr>
        <w:rPr>
          <w:rFonts w:cs="Arial"/>
        </w:rPr>
      </w:pPr>
      <w:r>
        <w:rPr>
          <w:rFonts w:cs="Arial"/>
        </w:rPr>
        <w:t>NOx Rate (lb/MWh</w:t>
      </w:r>
      <w:r w:rsidR="00C95279">
        <w:rPr>
          <w:rFonts w:cs="Arial"/>
        </w:rPr>
        <w:t>r</w:t>
      </w:r>
      <w:r>
        <w:rPr>
          <w:rFonts w:cs="Arial"/>
        </w:rPr>
        <w:t>) calculated</w:t>
      </w:r>
    </w:p>
    <w:p w:rsidR="003B5EB1" w:rsidRDefault="003B5EB1" w:rsidP="003C4B1C">
      <w:pPr>
        <w:numPr>
          <w:ilvl w:val="0"/>
          <w:numId w:val="3"/>
        </w:numPr>
        <w:rPr>
          <w:rFonts w:cs="Arial"/>
        </w:rPr>
      </w:pPr>
      <w:r>
        <w:rPr>
          <w:rFonts w:cs="Arial"/>
        </w:rPr>
        <w:t>Heat Input (mmBtu)</w:t>
      </w:r>
    </w:p>
    <w:p w:rsidR="00591165" w:rsidRDefault="003B5EB1" w:rsidP="003C4B1C">
      <w:pPr>
        <w:numPr>
          <w:ilvl w:val="0"/>
          <w:numId w:val="3"/>
        </w:numPr>
        <w:rPr>
          <w:rFonts w:cs="Arial"/>
        </w:rPr>
      </w:pPr>
      <w:r>
        <w:rPr>
          <w:rFonts w:cs="Arial"/>
        </w:rPr>
        <w:lastRenderedPageBreak/>
        <w:t>Operating Time (hours)</w:t>
      </w:r>
    </w:p>
    <w:p w:rsidR="003B5EB1" w:rsidRPr="00591165" w:rsidRDefault="00063F2D" w:rsidP="00591165">
      <w:pPr>
        <w:numPr>
          <w:ilvl w:val="0"/>
          <w:numId w:val="3"/>
        </w:numPr>
        <w:rPr>
          <w:rFonts w:cs="Arial"/>
          <w:b/>
        </w:rPr>
      </w:pPr>
      <w:r>
        <w:rPr>
          <w:rFonts w:cs="Arial"/>
        </w:rPr>
        <w:t xml:space="preserve">Number </w:t>
      </w:r>
      <w:r w:rsidR="003B5EB1" w:rsidRPr="00591165">
        <w:rPr>
          <w:rFonts w:cs="Arial"/>
        </w:rPr>
        <w:t>of months reported</w:t>
      </w:r>
    </w:p>
    <w:p w:rsidR="002775AC" w:rsidRDefault="002775AC" w:rsidP="003C4B1C">
      <w:pPr>
        <w:numPr>
          <w:ilvl w:val="0"/>
          <w:numId w:val="3"/>
        </w:numPr>
        <w:rPr>
          <w:rFonts w:cs="Arial"/>
        </w:rPr>
      </w:pPr>
      <w:r>
        <w:rPr>
          <w:rFonts w:cs="Arial"/>
        </w:rPr>
        <w:t>Source Category</w:t>
      </w:r>
    </w:p>
    <w:p w:rsidR="003B5EB1" w:rsidRDefault="003B5EB1" w:rsidP="003C4B1C">
      <w:pPr>
        <w:numPr>
          <w:ilvl w:val="0"/>
          <w:numId w:val="3"/>
        </w:numPr>
        <w:rPr>
          <w:rFonts w:cs="Arial"/>
        </w:rPr>
      </w:pPr>
      <w:r>
        <w:rPr>
          <w:rFonts w:cs="Arial"/>
        </w:rPr>
        <w:t>Unit Type</w:t>
      </w:r>
    </w:p>
    <w:p w:rsidR="002775AC" w:rsidRDefault="007679C4" w:rsidP="003C4B1C">
      <w:pPr>
        <w:numPr>
          <w:ilvl w:val="0"/>
          <w:numId w:val="3"/>
        </w:numPr>
        <w:rPr>
          <w:rFonts w:cs="Arial"/>
        </w:rPr>
      </w:pPr>
      <w:r>
        <w:rPr>
          <w:rFonts w:cs="Arial"/>
        </w:rPr>
        <w:t>Fuel Type</w:t>
      </w:r>
    </w:p>
    <w:p w:rsidR="007679C4" w:rsidRPr="00CB0C32" w:rsidRDefault="007679C4" w:rsidP="003C4B1C">
      <w:pPr>
        <w:numPr>
          <w:ilvl w:val="0"/>
          <w:numId w:val="3"/>
        </w:numPr>
        <w:rPr>
          <w:rFonts w:cs="Arial"/>
        </w:rPr>
      </w:pPr>
      <w:r w:rsidRPr="00CB0C32">
        <w:rPr>
          <w:rFonts w:cs="Arial"/>
        </w:rPr>
        <w:t>Age</w:t>
      </w:r>
      <w:r w:rsidR="00CB0C32" w:rsidRPr="00CB0C32">
        <w:rPr>
          <w:rFonts w:cs="Arial"/>
        </w:rPr>
        <w:t xml:space="preserve"> of Unit</w:t>
      </w:r>
    </w:p>
    <w:p w:rsidR="00EF12BC" w:rsidRDefault="00EF12BC" w:rsidP="003C4B1C">
      <w:pPr>
        <w:numPr>
          <w:ilvl w:val="0"/>
          <w:numId w:val="3"/>
        </w:numPr>
        <w:rPr>
          <w:rFonts w:cs="Arial"/>
        </w:rPr>
      </w:pPr>
      <w:r>
        <w:rPr>
          <w:rFonts w:cs="Arial"/>
        </w:rPr>
        <w:t>Capacity factor</w:t>
      </w:r>
    </w:p>
    <w:p w:rsidR="003B5EB1" w:rsidRPr="00AD270B" w:rsidRDefault="002775AC" w:rsidP="00AD270B">
      <w:pPr>
        <w:numPr>
          <w:ilvl w:val="0"/>
          <w:numId w:val="3"/>
        </w:numPr>
        <w:rPr>
          <w:rFonts w:cs="Arial"/>
        </w:rPr>
      </w:pPr>
      <w:r>
        <w:rPr>
          <w:rFonts w:cs="Arial"/>
        </w:rPr>
        <w:t>NOx Controls</w:t>
      </w:r>
    </w:p>
    <w:p w:rsidR="003A35C4" w:rsidRDefault="003A35C4" w:rsidP="002775AC">
      <w:pPr>
        <w:rPr>
          <w:rFonts w:cs="Arial"/>
        </w:rPr>
      </w:pPr>
    </w:p>
    <w:p w:rsidR="0089777A" w:rsidRPr="00DE63C0" w:rsidRDefault="0089777A" w:rsidP="004E5B95">
      <w:pPr>
        <w:numPr>
          <w:ilvl w:val="0"/>
          <w:numId w:val="32"/>
        </w:numPr>
        <w:ind w:left="360" w:hanging="360"/>
        <w:rPr>
          <w:rFonts w:cs="Arial"/>
          <w:b/>
          <w:u w:val="single"/>
        </w:rPr>
      </w:pPr>
      <w:r w:rsidRPr="00DE63C0">
        <w:rPr>
          <w:rFonts w:cs="Arial"/>
          <w:b/>
          <w:u w:val="single"/>
        </w:rPr>
        <w:t>Top</w:t>
      </w:r>
      <w:r w:rsidR="008B49B7" w:rsidRPr="00DE63C0">
        <w:rPr>
          <w:rFonts w:cs="Arial"/>
          <w:b/>
          <w:u w:val="single"/>
        </w:rPr>
        <w:t xml:space="preserve"> </w:t>
      </w:r>
      <w:r w:rsidRPr="00DE63C0">
        <w:rPr>
          <w:rFonts w:cs="Arial"/>
          <w:b/>
          <w:u w:val="single"/>
        </w:rPr>
        <w:t xml:space="preserve">25 </w:t>
      </w:r>
      <w:r w:rsidR="008B49B7" w:rsidRPr="00DE63C0">
        <w:rPr>
          <w:rFonts w:cs="Arial"/>
          <w:b/>
          <w:u w:val="single"/>
        </w:rPr>
        <w:t>Ozone Season NOx</w:t>
      </w:r>
      <w:r w:rsidR="00C908E1" w:rsidRPr="00DE63C0">
        <w:rPr>
          <w:rFonts w:cs="Arial"/>
          <w:b/>
          <w:u w:val="single"/>
          <w:vertAlign w:val="subscript"/>
        </w:rPr>
        <w:t xml:space="preserve"> </w:t>
      </w:r>
      <w:r w:rsidR="008B49B7" w:rsidRPr="00DE63C0">
        <w:rPr>
          <w:rFonts w:cs="Arial"/>
          <w:b/>
          <w:u w:val="single"/>
        </w:rPr>
        <w:t>Emitters in the OTC Modeling Domain</w:t>
      </w:r>
    </w:p>
    <w:p w:rsidR="00C908E1" w:rsidRDefault="00C908E1" w:rsidP="00A330BA">
      <w:pPr>
        <w:rPr>
          <w:rFonts w:cs="Arial"/>
          <w:u w:val="single"/>
        </w:rPr>
      </w:pPr>
    </w:p>
    <w:p w:rsidR="0089777A" w:rsidRDefault="008B49B7" w:rsidP="00C908E1">
      <w:pPr>
        <w:autoSpaceDE w:val="0"/>
        <w:autoSpaceDN w:val="0"/>
        <w:adjustRightInd w:val="0"/>
        <w:rPr>
          <w:rFonts w:cs="Arial"/>
          <w:bCs/>
        </w:rPr>
      </w:pPr>
      <w:r w:rsidRPr="00920AF1">
        <w:rPr>
          <w:rFonts w:cs="Arial"/>
        </w:rPr>
        <w:t xml:space="preserve">The </w:t>
      </w:r>
      <w:r w:rsidR="00B7123B" w:rsidRPr="00920AF1">
        <w:rPr>
          <w:rFonts w:cs="Arial"/>
        </w:rPr>
        <w:t xml:space="preserve">Subgroup </w:t>
      </w:r>
      <w:r w:rsidR="00A75255">
        <w:rPr>
          <w:rFonts w:cs="Arial"/>
        </w:rPr>
        <w:t xml:space="preserve">identified </w:t>
      </w:r>
      <w:r w:rsidR="0089777A" w:rsidRPr="00920AF1">
        <w:rPr>
          <w:rFonts w:cs="Arial"/>
        </w:rPr>
        <w:t>the Top 25 Ozone Season NOx Emitters in the OTC Modeling Domain</w:t>
      </w:r>
      <w:r w:rsidR="00B7123B" w:rsidRPr="00920AF1">
        <w:rPr>
          <w:rFonts w:cs="Arial"/>
        </w:rPr>
        <w:t xml:space="preserve"> for 2011</w:t>
      </w:r>
      <w:r w:rsidR="00522772" w:rsidRPr="00920AF1">
        <w:rPr>
          <w:rFonts w:cs="Arial"/>
        </w:rPr>
        <w:t>,</w:t>
      </w:r>
      <w:r w:rsidR="00B7123B" w:rsidRPr="00920AF1">
        <w:rPr>
          <w:rFonts w:cs="Arial"/>
        </w:rPr>
        <w:t xml:space="preserve"> 2012</w:t>
      </w:r>
      <w:r w:rsidR="00522772" w:rsidRPr="00920AF1">
        <w:rPr>
          <w:rFonts w:cs="Arial"/>
        </w:rPr>
        <w:t xml:space="preserve"> and 2013</w:t>
      </w:r>
      <w:r w:rsidR="00B7123B" w:rsidRPr="00920AF1">
        <w:rPr>
          <w:rFonts w:cs="Arial"/>
        </w:rPr>
        <w:t>.</w:t>
      </w:r>
      <w:r w:rsidR="0089777A" w:rsidRPr="00920AF1">
        <w:rPr>
          <w:rFonts w:cs="Arial"/>
        </w:rPr>
        <w:t xml:space="preserve"> </w:t>
      </w:r>
      <w:r w:rsidR="00C908E1" w:rsidRPr="00920AF1">
        <w:rPr>
          <w:rFonts w:cs="Arial"/>
          <w:bCs/>
        </w:rPr>
        <w:t>Criteria for inclusion in the list was the mass of NOx emitted during the ozone season, the NOx emission rate was included as additional information.</w:t>
      </w:r>
    </w:p>
    <w:p w:rsidR="00920AF1" w:rsidRDefault="00920AF1" w:rsidP="00C908E1">
      <w:pPr>
        <w:autoSpaceDE w:val="0"/>
        <w:autoSpaceDN w:val="0"/>
        <w:adjustRightInd w:val="0"/>
        <w:rPr>
          <w:rFonts w:cs="Arial"/>
          <w:bCs/>
        </w:rPr>
      </w:pPr>
    </w:p>
    <w:p w:rsidR="000E029E" w:rsidRDefault="000E029E" w:rsidP="000E029E">
      <w:pPr>
        <w:autoSpaceDE w:val="0"/>
        <w:autoSpaceDN w:val="0"/>
        <w:adjustRightInd w:val="0"/>
        <w:jc w:val="center"/>
        <w:rPr>
          <w:rFonts w:cs="Arial"/>
          <w:b/>
          <w:bCs/>
        </w:rPr>
      </w:pPr>
      <w:r w:rsidRPr="000E029E">
        <w:rPr>
          <w:rFonts w:cs="Arial"/>
          <w:b/>
          <w:bCs/>
        </w:rPr>
        <w:t>Top 25 NOx Emitters 2011 Ozone Season</w:t>
      </w:r>
    </w:p>
    <w:p w:rsidR="00BC02DA" w:rsidRPr="000E029E" w:rsidRDefault="00BC02DA" w:rsidP="000E029E">
      <w:pPr>
        <w:autoSpaceDE w:val="0"/>
        <w:autoSpaceDN w:val="0"/>
        <w:adjustRightInd w:val="0"/>
        <w:jc w:val="cente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
        <w:gridCol w:w="2429"/>
        <w:gridCol w:w="1260"/>
        <w:gridCol w:w="900"/>
        <w:gridCol w:w="1962"/>
        <w:gridCol w:w="1476"/>
      </w:tblGrid>
      <w:tr w:rsidR="00BC02DA" w:rsidRPr="005A5575">
        <w:tc>
          <w:tcPr>
            <w:tcW w:w="829" w:type="dxa"/>
            <w:shd w:val="clear" w:color="auto" w:fill="D9D9D9"/>
          </w:tcPr>
          <w:p w:rsidR="00B2199A" w:rsidRPr="005A5575" w:rsidRDefault="00B2199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STATE</w:t>
            </w:r>
          </w:p>
        </w:tc>
        <w:tc>
          <w:tcPr>
            <w:tcW w:w="2429" w:type="dxa"/>
            <w:shd w:val="clear" w:color="auto" w:fill="D9D9D9"/>
          </w:tcPr>
          <w:p w:rsidR="00B2199A" w:rsidRPr="005A5575" w:rsidRDefault="00B2199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Facility Name</w:t>
            </w:r>
          </w:p>
        </w:tc>
        <w:tc>
          <w:tcPr>
            <w:tcW w:w="1260" w:type="dxa"/>
            <w:shd w:val="clear" w:color="auto" w:fill="D9D9D9"/>
          </w:tcPr>
          <w:p w:rsidR="00B2199A" w:rsidRPr="005A5575" w:rsidRDefault="00B2199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Facility ID</w:t>
            </w:r>
          </w:p>
        </w:tc>
        <w:tc>
          <w:tcPr>
            <w:tcW w:w="900" w:type="dxa"/>
            <w:shd w:val="clear" w:color="auto" w:fill="D9D9D9"/>
          </w:tcPr>
          <w:p w:rsidR="00B2199A" w:rsidRPr="005A5575" w:rsidRDefault="00B2199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UNIT ID</w:t>
            </w:r>
          </w:p>
        </w:tc>
        <w:tc>
          <w:tcPr>
            <w:tcW w:w="1962" w:type="dxa"/>
            <w:shd w:val="clear" w:color="auto" w:fill="D9D9D9"/>
          </w:tcPr>
          <w:p w:rsidR="00B2199A" w:rsidRPr="005A5575" w:rsidRDefault="00B2199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Avg. NOx Rate (lb/MMBtu)</w:t>
            </w:r>
          </w:p>
        </w:tc>
        <w:tc>
          <w:tcPr>
            <w:tcW w:w="1476" w:type="dxa"/>
            <w:shd w:val="clear" w:color="auto" w:fill="D9D9D9"/>
          </w:tcPr>
          <w:p w:rsidR="00B2199A" w:rsidRPr="005A5575" w:rsidRDefault="00B2199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NOx (Tons)</w:t>
            </w:r>
          </w:p>
        </w:tc>
      </w:tr>
      <w:tr w:rsidR="00BC02DA" w:rsidRPr="005A5575">
        <w:tc>
          <w:tcPr>
            <w:tcW w:w="829" w:type="dxa"/>
            <w:shd w:val="clear" w:color="auto" w:fill="C6D9F1"/>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IN</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Rockport</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6166</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MB2</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0.243</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5,339</w:t>
            </w:r>
          </w:p>
        </w:tc>
      </w:tr>
      <w:tr w:rsidR="00BC02DA" w:rsidRPr="005A5575">
        <w:tc>
          <w:tcPr>
            <w:tcW w:w="829" w:type="dxa"/>
            <w:shd w:val="clear" w:color="auto" w:fill="E36C0A"/>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Keystone</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3136</w:t>
            </w:r>
          </w:p>
        </w:tc>
        <w:tc>
          <w:tcPr>
            <w:tcW w:w="900" w:type="dxa"/>
            <w:shd w:val="clear" w:color="auto" w:fill="FF00FF"/>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0.363</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5,044</w:t>
            </w:r>
          </w:p>
        </w:tc>
      </w:tr>
      <w:tr w:rsidR="00BC02DA" w:rsidRPr="005A5575">
        <w:tc>
          <w:tcPr>
            <w:tcW w:w="829" w:type="dxa"/>
            <w:shd w:val="clear" w:color="auto" w:fill="E36C0A"/>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Keystone</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3136</w:t>
            </w:r>
          </w:p>
        </w:tc>
        <w:tc>
          <w:tcPr>
            <w:tcW w:w="900" w:type="dxa"/>
            <w:shd w:val="clear" w:color="auto" w:fill="FF00FF"/>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0.371</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4,855</w:t>
            </w:r>
          </w:p>
        </w:tc>
      </w:tr>
      <w:tr w:rsidR="00BC02DA" w:rsidRPr="005A5575">
        <w:tc>
          <w:tcPr>
            <w:tcW w:w="829" w:type="dxa"/>
            <w:shd w:val="clear" w:color="auto" w:fill="E36C0A"/>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1</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0.492</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4,288</w:t>
            </w:r>
          </w:p>
        </w:tc>
      </w:tr>
      <w:tr w:rsidR="00BC02DA" w:rsidRPr="005A5575">
        <w:tc>
          <w:tcPr>
            <w:tcW w:w="829" w:type="dxa"/>
            <w:shd w:val="clear" w:color="auto" w:fill="E36C0A"/>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Conemaugh</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3118</w:t>
            </w:r>
          </w:p>
        </w:tc>
        <w:tc>
          <w:tcPr>
            <w:tcW w:w="900" w:type="dxa"/>
            <w:shd w:val="clear" w:color="auto" w:fill="FF00FF"/>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0.317</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4,086</w:t>
            </w:r>
          </w:p>
        </w:tc>
      </w:tr>
      <w:tr w:rsidR="00BC02DA" w:rsidRPr="005A5575">
        <w:tc>
          <w:tcPr>
            <w:tcW w:w="829" w:type="dxa"/>
            <w:shd w:val="clear" w:color="auto" w:fill="E36C0A"/>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2</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0.474</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3,984</w:t>
            </w:r>
          </w:p>
        </w:tc>
      </w:tr>
      <w:tr w:rsidR="00BC02DA" w:rsidRPr="005A5575">
        <w:tc>
          <w:tcPr>
            <w:tcW w:w="829" w:type="dxa"/>
            <w:shd w:val="clear" w:color="auto" w:fill="92D050"/>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White Bluff</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6009</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0.275</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3,956</w:t>
            </w:r>
          </w:p>
        </w:tc>
      </w:tr>
      <w:tr w:rsidR="00BC02DA" w:rsidRPr="005A5575">
        <w:tc>
          <w:tcPr>
            <w:tcW w:w="829" w:type="dxa"/>
            <w:shd w:val="clear" w:color="auto" w:fill="E36C0A"/>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Conemaugh</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3188</w:t>
            </w:r>
          </w:p>
        </w:tc>
        <w:tc>
          <w:tcPr>
            <w:tcW w:w="900" w:type="dxa"/>
            <w:shd w:val="clear" w:color="auto" w:fill="FF00FF"/>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0.341</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3,890</w:t>
            </w:r>
          </w:p>
        </w:tc>
      </w:tr>
      <w:tr w:rsidR="00BC02DA" w:rsidRPr="005A5575">
        <w:tc>
          <w:tcPr>
            <w:tcW w:w="829" w:type="dxa"/>
            <w:shd w:val="clear" w:color="auto" w:fill="E36C0A"/>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Brunner Island</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3140</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0.376</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3,834</w:t>
            </w:r>
          </w:p>
        </w:tc>
      </w:tr>
      <w:tr w:rsidR="00BC02DA" w:rsidRPr="005A5575">
        <w:tc>
          <w:tcPr>
            <w:tcW w:w="829" w:type="dxa"/>
            <w:shd w:val="clear" w:color="auto" w:fill="92D050"/>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White Bluff</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6009</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0.279</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3,794</w:t>
            </w:r>
          </w:p>
        </w:tc>
      </w:tr>
      <w:tr w:rsidR="00BC02DA" w:rsidRPr="005A5575">
        <w:tc>
          <w:tcPr>
            <w:tcW w:w="829" w:type="dxa"/>
            <w:shd w:val="clear" w:color="auto" w:fill="C6D9F1"/>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IN</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Rockport</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6166</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MB1</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0.237</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3,616</w:t>
            </w:r>
          </w:p>
        </w:tc>
      </w:tr>
      <w:tr w:rsidR="00BC02DA" w:rsidRPr="005A5575">
        <w:tc>
          <w:tcPr>
            <w:tcW w:w="829" w:type="dxa"/>
            <w:shd w:val="clear" w:color="auto" w:fill="548DD4"/>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OH</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 H Zimmer Generation Station</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6019</w:t>
            </w:r>
          </w:p>
        </w:tc>
        <w:tc>
          <w:tcPr>
            <w:tcW w:w="900" w:type="dxa"/>
            <w:shd w:val="clear" w:color="auto" w:fill="FF00FF"/>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0.218</w:t>
            </w:r>
          </w:p>
        </w:tc>
        <w:tc>
          <w:tcPr>
            <w:tcW w:w="1476"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3,559</w:t>
            </w:r>
          </w:p>
        </w:tc>
      </w:tr>
      <w:tr w:rsidR="00BC02DA" w:rsidRPr="005A5575">
        <w:tc>
          <w:tcPr>
            <w:tcW w:w="829" w:type="dxa"/>
            <w:shd w:val="clear" w:color="auto" w:fill="92D050"/>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B2199A" w:rsidRPr="005A5575" w:rsidRDefault="000E029E"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Independence</w:t>
            </w:r>
          </w:p>
        </w:tc>
        <w:tc>
          <w:tcPr>
            <w:tcW w:w="126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6641</w:t>
            </w:r>
          </w:p>
        </w:tc>
        <w:tc>
          <w:tcPr>
            <w:tcW w:w="900"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0E029E"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0.259</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3,302</w:t>
            </w:r>
          </w:p>
          <w:p w:rsidR="006A7557" w:rsidRPr="005A5575" w:rsidRDefault="006A7557" w:rsidP="005A5575">
            <w:pPr>
              <w:autoSpaceDE w:val="0"/>
              <w:autoSpaceDN w:val="0"/>
              <w:adjustRightInd w:val="0"/>
              <w:jc w:val="right"/>
              <w:rPr>
                <w:rFonts w:ascii="TimesNewRomanPSMT" w:hAnsi="TimesNewRomanPSMT" w:cs="TimesNewRomanPSMT"/>
                <w:sz w:val="19"/>
                <w:szCs w:val="19"/>
              </w:rPr>
            </w:pPr>
          </w:p>
        </w:tc>
      </w:tr>
      <w:tr w:rsidR="00BC02DA" w:rsidRPr="005A5575">
        <w:tc>
          <w:tcPr>
            <w:tcW w:w="829" w:type="dxa"/>
            <w:shd w:val="clear" w:color="auto" w:fill="E36C0A"/>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Montour</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3149</w:t>
            </w:r>
          </w:p>
        </w:tc>
        <w:tc>
          <w:tcPr>
            <w:tcW w:w="900" w:type="dxa"/>
            <w:shd w:val="clear" w:color="auto" w:fill="FF00FF"/>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0.332</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3,298</w:t>
            </w:r>
          </w:p>
        </w:tc>
      </w:tr>
      <w:tr w:rsidR="00BC02DA" w:rsidRPr="005A5575">
        <w:tc>
          <w:tcPr>
            <w:tcW w:w="829" w:type="dxa"/>
            <w:shd w:val="clear" w:color="auto" w:fill="E36C0A"/>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Montour</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3149</w:t>
            </w:r>
          </w:p>
        </w:tc>
        <w:tc>
          <w:tcPr>
            <w:tcW w:w="900" w:type="dxa"/>
            <w:shd w:val="clear" w:color="auto" w:fill="FF00FF"/>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0.315</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3,132</w:t>
            </w:r>
          </w:p>
        </w:tc>
      </w:tr>
      <w:tr w:rsidR="00BC02DA" w:rsidRPr="005A5575">
        <w:tc>
          <w:tcPr>
            <w:tcW w:w="829" w:type="dxa"/>
            <w:shd w:val="clear" w:color="auto" w:fill="E36C0A"/>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0.432</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2,848</w:t>
            </w:r>
          </w:p>
        </w:tc>
      </w:tr>
      <w:tr w:rsidR="00BC02DA" w:rsidRPr="005A5575">
        <w:tc>
          <w:tcPr>
            <w:tcW w:w="829" w:type="dxa"/>
            <w:shd w:val="clear" w:color="auto" w:fill="FABF8F"/>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MI</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Monroe</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1733</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2</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0.285</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2,811</w:t>
            </w:r>
          </w:p>
        </w:tc>
      </w:tr>
      <w:tr w:rsidR="00BC02DA" w:rsidRPr="005A5575">
        <w:tc>
          <w:tcPr>
            <w:tcW w:w="829" w:type="dxa"/>
            <w:shd w:val="clear" w:color="auto" w:fill="31849B"/>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GA</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Harlee Branch</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709</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4</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0.407</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2,806</w:t>
            </w:r>
          </w:p>
        </w:tc>
      </w:tr>
      <w:tr w:rsidR="00BC02DA" w:rsidRPr="005A5575">
        <w:tc>
          <w:tcPr>
            <w:tcW w:w="829" w:type="dxa"/>
            <w:shd w:val="clear" w:color="auto" w:fill="FF00FF"/>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WV</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Fort Martin Power Station</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3943</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0.351</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2,660</w:t>
            </w:r>
          </w:p>
        </w:tc>
      </w:tr>
      <w:tr w:rsidR="00BC02DA" w:rsidRPr="005A5575">
        <w:tc>
          <w:tcPr>
            <w:tcW w:w="829" w:type="dxa"/>
            <w:shd w:val="clear" w:color="auto" w:fill="B2A1C7"/>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NY</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Lafarge Building Material, Inc.</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880044</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41000</w:t>
            </w:r>
          </w:p>
        </w:tc>
        <w:tc>
          <w:tcPr>
            <w:tcW w:w="1962" w:type="dxa"/>
            <w:shd w:val="clear" w:color="auto" w:fill="D9D9D9"/>
          </w:tcPr>
          <w:p w:rsidR="00B2199A" w:rsidRPr="005A5575" w:rsidRDefault="00B2199A" w:rsidP="005A5575">
            <w:pPr>
              <w:autoSpaceDE w:val="0"/>
              <w:autoSpaceDN w:val="0"/>
              <w:adjustRightInd w:val="0"/>
              <w:jc w:val="right"/>
              <w:rPr>
                <w:rFonts w:ascii="TimesNewRomanPSMT" w:hAnsi="TimesNewRomanPSMT" w:cs="TimesNewRomanPSMT"/>
                <w:sz w:val="19"/>
                <w:szCs w:val="19"/>
              </w:rPr>
            </w:pP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2,647</w:t>
            </w:r>
          </w:p>
        </w:tc>
      </w:tr>
      <w:tr w:rsidR="00BC02DA" w:rsidRPr="005A5575">
        <w:tc>
          <w:tcPr>
            <w:tcW w:w="829" w:type="dxa"/>
            <w:shd w:val="clear" w:color="auto" w:fill="92D050"/>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Independence</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6641</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0.227</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2,463</w:t>
            </w:r>
          </w:p>
        </w:tc>
      </w:tr>
      <w:tr w:rsidR="00BC02DA" w:rsidRPr="005A5575">
        <w:tc>
          <w:tcPr>
            <w:tcW w:w="829" w:type="dxa"/>
            <w:shd w:val="clear" w:color="auto" w:fill="984806"/>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KY</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Paradise</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1378</w:t>
            </w:r>
          </w:p>
        </w:tc>
        <w:tc>
          <w:tcPr>
            <w:tcW w:w="900" w:type="dxa"/>
            <w:shd w:val="clear" w:color="auto" w:fill="FF00FF"/>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0.386</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2,431</w:t>
            </w:r>
          </w:p>
        </w:tc>
      </w:tr>
      <w:tr w:rsidR="00BC02DA" w:rsidRPr="005A5575">
        <w:tc>
          <w:tcPr>
            <w:tcW w:w="829" w:type="dxa"/>
            <w:shd w:val="clear" w:color="auto" w:fill="B2A1C7"/>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NY</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Somerset Operating Company (kintigh)</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6082</w:t>
            </w:r>
          </w:p>
        </w:tc>
        <w:tc>
          <w:tcPr>
            <w:tcW w:w="900" w:type="dxa"/>
            <w:shd w:val="clear" w:color="auto" w:fill="FF00FF"/>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0.296</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2,347</w:t>
            </w:r>
          </w:p>
        </w:tc>
      </w:tr>
      <w:tr w:rsidR="00BC02DA" w:rsidRPr="005A5575">
        <w:tc>
          <w:tcPr>
            <w:tcW w:w="829" w:type="dxa"/>
            <w:shd w:val="clear" w:color="auto" w:fill="548DD4"/>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OH</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Avon Lake Power Plant</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2836</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12</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0.400</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2,328</w:t>
            </w:r>
          </w:p>
        </w:tc>
      </w:tr>
      <w:tr w:rsidR="00BC02DA" w:rsidRPr="005A5575">
        <w:tc>
          <w:tcPr>
            <w:tcW w:w="829" w:type="dxa"/>
            <w:shd w:val="clear" w:color="auto" w:fill="548DD4"/>
          </w:tcPr>
          <w:p w:rsidR="00B2199A" w:rsidRPr="005A5575" w:rsidRDefault="006A755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OH</w:t>
            </w:r>
          </w:p>
        </w:tc>
        <w:tc>
          <w:tcPr>
            <w:tcW w:w="2429" w:type="dxa"/>
            <w:shd w:val="clear" w:color="auto" w:fill="D9D9D9"/>
          </w:tcPr>
          <w:p w:rsidR="00B2199A" w:rsidRPr="005A5575" w:rsidRDefault="006A7557"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EastLake</w:t>
            </w:r>
          </w:p>
        </w:tc>
        <w:tc>
          <w:tcPr>
            <w:tcW w:w="126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2837</w:t>
            </w:r>
          </w:p>
        </w:tc>
        <w:tc>
          <w:tcPr>
            <w:tcW w:w="900"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5</w:t>
            </w:r>
          </w:p>
        </w:tc>
        <w:tc>
          <w:tcPr>
            <w:tcW w:w="1962"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0.262</w:t>
            </w:r>
          </w:p>
        </w:tc>
        <w:tc>
          <w:tcPr>
            <w:tcW w:w="1476" w:type="dxa"/>
            <w:shd w:val="clear" w:color="auto" w:fill="D9D9D9"/>
          </w:tcPr>
          <w:p w:rsidR="00B2199A" w:rsidRPr="005A5575" w:rsidRDefault="006A755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2,323</w:t>
            </w:r>
          </w:p>
        </w:tc>
      </w:tr>
      <w:tr w:rsidR="006A7557" w:rsidRPr="005A5575">
        <w:tc>
          <w:tcPr>
            <w:tcW w:w="8856" w:type="dxa"/>
            <w:gridSpan w:val="6"/>
            <w:shd w:val="clear" w:color="auto" w:fill="D9D9D9"/>
          </w:tcPr>
          <w:p w:rsidR="006A7557" w:rsidRPr="005A5575" w:rsidRDefault="006A7557" w:rsidP="005A5575">
            <w:pPr>
              <w:autoSpaceDE w:val="0"/>
              <w:autoSpaceDN w:val="0"/>
              <w:adjustRightInd w:val="0"/>
              <w:rPr>
                <w:rFonts w:ascii="TimesNewRomanPSMT" w:hAnsi="TimesNewRomanPSMT" w:cs="TimesNewRomanPSMT"/>
                <w:sz w:val="19"/>
                <w:szCs w:val="19"/>
              </w:rPr>
            </w:pPr>
          </w:p>
        </w:tc>
      </w:tr>
      <w:tr w:rsidR="006A7557" w:rsidRPr="005A5575">
        <w:tc>
          <w:tcPr>
            <w:tcW w:w="8856" w:type="dxa"/>
            <w:gridSpan w:val="6"/>
            <w:shd w:val="clear" w:color="auto" w:fill="D9D9D9"/>
          </w:tcPr>
          <w:p w:rsidR="006A7557" w:rsidRPr="005A5575" w:rsidRDefault="00EA390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Red Text Indicates Units Scheduled to Retire</w:t>
            </w:r>
          </w:p>
        </w:tc>
      </w:tr>
      <w:tr w:rsidR="006A7557" w:rsidRPr="005A5575">
        <w:tc>
          <w:tcPr>
            <w:tcW w:w="8856" w:type="dxa"/>
            <w:gridSpan w:val="6"/>
            <w:shd w:val="clear" w:color="auto" w:fill="D9D9D9"/>
          </w:tcPr>
          <w:p w:rsidR="006A7557" w:rsidRPr="005A5575" w:rsidRDefault="00EA390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lastRenderedPageBreak/>
              <w:t>* Blue Text indicates Units with Future Controls Planned</w:t>
            </w:r>
          </w:p>
        </w:tc>
      </w:tr>
      <w:tr w:rsidR="00C802A9" w:rsidRPr="005A5575">
        <w:tc>
          <w:tcPr>
            <w:tcW w:w="8856" w:type="dxa"/>
            <w:gridSpan w:val="6"/>
            <w:shd w:val="clear" w:color="auto" w:fill="D9D9D9"/>
          </w:tcPr>
          <w:p w:rsidR="00C802A9" w:rsidRPr="005A5575" w:rsidRDefault="00EA390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Pink Text indicates Units with Installed Pollution Controls</w:t>
            </w:r>
          </w:p>
        </w:tc>
      </w:tr>
      <w:tr w:rsidR="006A7557" w:rsidRPr="005A5575">
        <w:tc>
          <w:tcPr>
            <w:tcW w:w="8856" w:type="dxa"/>
            <w:gridSpan w:val="6"/>
            <w:shd w:val="clear" w:color="auto" w:fill="D9D9D9"/>
          </w:tcPr>
          <w:p w:rsidR="006A7557" w:rsidRPr="005A5575" w:rsidRDefault="00EA390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 LaFarge Building Material, Inc, is not an EGU </w:t>
            </w:r>
          </w:p>
        </w:tc>
      </w:tr>
      <w:tr w:rsidR="00AA1A3B" w:rsidRPr="005A5575">
        <w:tc>
          <w:tcPr>
            <w:tcW w:w="8856" w:type="dxa"/>
            <w:gridSpan w:val="6"/>
            <w:shd w:val="clear" w:color="auto" w:fill="D9D9D9"/>
          </w:tcPr>
          <w:p w:rsidR="00AA1A3B" w:rsidRPr="005A5575" w:rsidRDefault="003516F2" w:rsidP="005A5575">
            <w:pPr>
              <w:autoSpaceDE w:val="0"/>
              <w:autoSpaceDN w:val="0"/>
              <w:adjustRightInd w:val="0"/>
              <w:rPr>
                <w:rFonts w:ascii="TimesNewRomanPSMT" w:hAnsi="TimesNewRomanPSMT" w:cs="TimesNewRomanPSMT"/>
                <w:sz w:val="19"/>
                <w:szCs w:val="19"/>
              </w:rPr>
            </w:pPr>
            <w:r>
              <w:rPr>
                <w:rFonts w:ascii="TimesNewRomanPSMT" w:hAnsi="TimesNewRomanPSMT" w:cs="TimesNewRomanPSMT"/>
                <w:sz w:val="19"/>
                <w:szCs w:val="19"/>
              </w:rPr>
              <w:t>*</w:t>
            </w:r>
            <w:proofErr w:type="spellStart"/>
            <w:r w:rsidR="00AA1A3B" w:rsidRPr="007503FF">
              <w:rPr>
                <w:rFonts w:ascii="TimesNewRomanPSMT" w:hAnsi="TimesNewRomanPSMT" w:cs="TimesNewRomanPSMT"/>
                <w:sz w:val="19"/>
                <w:szCs w:val="19"/>
              </w:rPr>
              <w:t>Conemaugh</w:t>
            </w:r>
            <w:proofErr w:type="spellEnd"/>
            <w:r w:rsidR="00AA1A3B" w:rsidRPr="007503FF">
              <w:rPr>
                <w:rFonts w:ascii="TimesNewRomanPSMT" w:hAnsi="TimesNewRomanPSMT" w:cs="TimesNewRomanPSMT"/>
                <w:sz w:val="19"/>
                <w:szCs w:val="19"/>
              </w:rPr>
              <w:t xml:space="preserve"> has installed controls on Unit 1 and 2</w:t>
            </w:r>
          </w:p>
        </w:tc>
      </w:tr>
      <w:tr w:rsidR="00AA1A3B" w:rsidRPr="005A5575">
        <w:tc>
          <w:tcPr>
            <w:tcW w:w="8856" w:type="dxa"/>
            <w:gridSpan w:val="6"/>
            <w:shd w:val="clear" w:color="auto" w:fill="D9D9D9"/>
          </w:tcPr>
          <w:p w:rsidR="00AA1A3B" w:rsidRPr="005A5575" w:rsidRDefault="00AA1A3B" w:rsidP="005A5575">
            <w:pPr>
              <w:autoSpaceDE w:val="0"/>
              <w:autoSpaceDN w:val="0"/>
              <w:adjustRightInd w:val="0"/>
              <w:rPr>
                <w:rFonts w:ascii="TimesNewRomanPSMT" w:hAnsi="TimesNewRomanPSMT" w:cs="TimesNewRomanPSMT"/>
                <w:sz w:val="19"/>
                <w:szCs w:val="19"/>
              </w:rPr>
            </w:pPr>
            <w:r>
              <w:rPr>
                <w:rFonts w:ascii="TimesNewRomanPSMT" w:hAnsi="TimesNewRomanPSMT" w:cs="TimesNewRomanPSMT"/>
                <w:sz w:val="19"/>
                <w:szCs w:val="19"/>
              </w:rPr>
              <w:t>* Hatfield's Ferry closed as of October 2013</w:t>
            </w:r>
          </w:p>
        </w:tc>
      </w:tr>
    </w:tbl>
    <w:p w:rsidR="00920AF1" w:rsidRPr="00920AF1" w:rsidRDefault="00920AF1" w:rsidP="00C908E1">
      <w:pPr>
        <w:autoSpaceDE w:val="0"/>
        <w:autoSpaceDN w:val="0"/>
        <w:adjustRightInd w:val="0"/>
        <w:rPr>
          <w:rFonts w:ascii="TimesNewRomanPSMT" w:hAnsi="TimesNewRomanPSMT" w:cs="TimesNewRomanPSMT"/>
          <w:sz w:val="19"/>
          <w:szCs w:val="19"/>
        </w:rPr>
      </w:pPr>
    </w:p>
    <w:p w:rsidR="0089777A" w:rsidRPr="0089777A" w:rsidRDefault="0089777A" w:rsidP="00A330BA">
      <w:pPr>
        <w:rPr>
          <w:rFonts w:cs="Arial"/>
        </w:rPr>
      </w:pPr>
    </w:p>
    <w:p w:rsidR="00522772" w:rsidRPr="00522772" w:rsidRDefault="00522772" w:rsidP="00A330BA">
      <w:pPr>
        <w:rPr>
          <w:rFonts w:cs="Arial"/>
          <w:u w:val="single"/>
        </w:rPr>
      </w:pPr>
    </w:p>
    <w:p w:rsidR="0089777A" w:rsidRDefault="00BC02DA" w:rsidP="00BC02DA">
      <w:pPr>
        <w:jc w:val="center"/>
        <w:rPr>
          <w:rFonts w:cs="Arial"/>
          <w:b/>
          <w:u w:val="single"/>
        </w:rPr>
      </w:pPr>
      <w:r w:rsidRPr="00BC02DA">
        <w:rPr>
          <w:rFonts w:cs="Arial"/>
          <w:b/>
          <w:u w:val="single"/>
        </w:rPr>
        <w:t>Top 25 NOx Emitters 2012 Ozone Season</w:t>
      </w:r>
    </w:p>
    <w:p w:rsidR="00BC02DA" w:rsidRDefault="00BC02DA" w:rsidP="00BC02DA">
      <w:pPr>
        <w:jc w:val="center"/>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
        <w:gridCol w:w="2429"/>
        <w:gridCol w:w="1260"/>
        <w:gridCol w:w="900"/>
        <w:gridCol w:w="1962"/>
        <w:gridCol w:w="1476"/>
      </w:tblGrid>
      <w:tr w:rsidR="00BC02DA" w:rsidRPr="005A5575">
        <w:tc>
          <w:tcPr>
            <w:tcW w:w="829" w:type="dxa"/>
            <w:shd w:val="clear" w:color="auto" w:fill="D9D9D9"/>
          </w:tcPr>
          <w:p w:rsidR="00BC02DA" w:rsidRPr="005A5575" w:rsidRDefault="00BC02D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STATE</w:t>
            </w:r>
          </w:p>
        </w:tc>
        <w:tc>
          <w:tcPr>
            <w:tcW w:w="2429" w:type="dxa"/>
            <w:shd w:val="clear" w:color="auto" w:fill="D9D9D9"/>
          </w:tcPr>
          <w:p w:rsidR="00BC02DA" w:rsidRPr="005A5575" w:rsidRDefault="00BC02D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Facility Name</w:t>
            </w:r>
          </w:p>
        </w:tc>
        <w:tc>
          <w:tcPr>
            <w:tcW w:w="1260" w:type="dxa"/>
            <w:shd w:val="clear" w:color="auto" w:fill="D9D9D9"/>
          </w:tcPr>
          <w:p w:rsidR="00BC02DA" w:rsidRPr="005A5575" w:rsidRDefault="00BC02D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Facility ID</w:t>
            </w:r>
          </w:p>
        </w:tc>
        <w:tc>
          <w:tcPr>
            <w:tcW w:w="900" w:type="dxa"/>
            <w:shd w:val="clear" w:color="auto" w:fill="D9D9D9"/>
          </w:tcPr>
          <w:p w:rsidR="00BC02DA" w:rsidRPr="005A5575" w:rsidRDefault="00BC02D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UNIT ID</w:t>
            </w:r>
          </w:p>
        </w:tc>
        <w:tc>
          <w:tcPr>
            <w:tcW w:w="1962" w:type="dxa"/>
            <w:shd w:val="clear" w:color="auto" w:fill="D9D9D9"/>
          </w:tcPr>
          <w:p w:rsidR="00BC02DA" w:rsidRPr="005A5575" w:rsidRDefault="00BC02D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Avg. NOx Rate (lb/MMBtu)</w:t>
            </w:r>
          </w:p>
        </w:tc>
        <w:tc>
          <w:tcPr>
            <w:tcW w:w="1476" w:type="dxa"/>
            <w:shd w:val="clear" w:color="auto" w:fill="D9D9D9"/>
          </w:tcPr>
          <w:p w:rsidR="00BC02DA" w:rsidRPr="005A5575" w:rsidRDefault="00BC02D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NOx (Tons)</w:t>
            </w:r>
          </w:p>
        </w:tc>
      </w:tr>
      <w:tr w:rsidR="00BC02DA" w:rsidRPr="005A5575">
        <w:tc>
          <w:tcPr>
            <w:tcW w:w="829" w:type="dxa"/>
            <w:shd w:val="clear" w:color="auto" w:fill="FF66FF"/>
          </w:tcPr>
          <w:p w:rsidR="00BC02DA" w:rsidRPr="005A5575" w:rsidRDefault="00D138C0"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w:t>
            </w:r>
          </w:p>
        </w:tc>
        <w:tc>
          <w:tcPr>
            <w:tcW w:w="2429" w:type="dxa"/>
            <w:shd w:val="clear" w:color="auto" w:fill="D9D9D9"/>
          </w:tcPr>
          <w:p w:rsidR="00BC02DA" w:rsidRPr="005A5575" w:rsidRDefault="00D138C0"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New Madrid Power Plant</w:t>
            </w:r>
          </w:p>
        </w:tc>
        <w:tc>
          <w:tcPr>
            <w:tcW w:w="1260" w:type="dxa"/>
            <w:shd w:val="clear" w:color="auto" w:fill="D9D9D9"/>
          </w:tcPr>
          <w:p w:rsidR="00BC02DA" w:rsidRPr="005A5575" w:rsidRDefault="00D138C0"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2167</w:t>
            </w:r>
          </w:p>
        </w:tc>
        <w:tc>
          <w:tcPr>
            <w:tcW w:w="900" w:type="dxa"/>
            <w:shd w:val="clear" w:color="auto" w:fill="FF00FF"/>
          </w:tcPr>
          <w:p w:rsidR="00BC02DA" w:rsidRPr="005A5575" w:rsidRDefault="00D138C0"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0.627</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5,786</w:t>
            </w:r>
          </w:p>
        </w:tc>
      </w:tr>
      <w:tr w:rsidR="00BC02DA" w:rsidRPr="005A5575">
        <w:tc>
          <w:tcPr>
            <w:tcW w:w="829" w:type="dxa"/>
            <w:shd w:val="clear" w:color="auto" w:fill="C6D9F1"/>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IN </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Rockport</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6166</w:t>
            </w:r>
          </w:p>
        </w:tc>
        <w:tc>
          <w:tcPr>
            <w:tcW w:w="90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MB1</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0.221</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5,001</w:t>
            </w:r>
          </w:p>
        </w:tc>
      </w:tr>
      <w:tr w:rsidR="00BC02DA" w:rsidRPr="005A5575">
        <w:tc>
          <w:tcPr>
            <w:tcW w:w="829" w:type="dxa"/>
            <w:shd w:val="clear" w:color="auto" w:fill="E36C0A"/>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Keystone</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3136</w:t>
            </w:r>
          </w:p>
        </w:tc>
        <w:tc>
          <w:tcPr>
            <w:tcW w:w="900" w:type="dxa"/>
            <w:shd w:val="clear" w:color="auto" w:fill="FF00FF"/>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0.365</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4,661</w:t>
            </w:r>
          </w:p>
        </w:tc>
      </w:tr>
      <w:tr w:rsidR="00BC02DA" w:rsidRPr="005A5575">
        <w:tc>
          <w:tcPr>
            <w:tcW w:w="829" w:type="dxa"/>
            <w:shd w:val="clear" w:color="auto" w:fill="C6D9F1"/>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w:t>
            </w:r>
            <w:r w:rsidRPr="005A5575">
              <w:rPr>
                <w:rFonts w:ascii="TimesNewRomanPSMT" w:hAnsi="TimesNewRomanPSMT" w:cs="TimesNewRomanPSMT"/>
                <w:sz w:val="19"/>
                <w:szCs w:val="19"/>
                <w:shd w:val="clear" w:color="auto" w:fill="B8CCE4"/>
              </w:rPr>
              <w:t>N</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Rockport</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6166</w:t>
            </w:r>
          </w:p>
        </w:tc>
        <w:tc>
          <w:tcPr>
            <w:tcW w:w="90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MB2</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0.224</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4,215</w:t>
            </w:r>
          </w:p>
        </w:tc>
      </w:tr>
      <w:tr w:rsidR="00BC02DA" w:rsidRPr="005A5575">
        <w:tc>
          <w:tcPr>
            <w:tcW w:w="829" w:type="dxa"/>
            <w:shd w:val="clear" w:color="auto" w:fill="FF66FF"/>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New Madrid Power Plant</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2167</w:t>
            </w:r>
          </w:p>
        </w:tc>
        <w:tc>
          <w:tcPr>
            <w:tcW w:w="900" w:type="dxa"/>
            <w:shd w:val="clear" w:color="auto" w:fill="FF00FF"/>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0.505</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4,134</w:t>
            </w:r>
          </w:p>
        </w:tc>
      </w:tr>
      <w:tr w:rsidR="00BC02DA" w:rsidRPr="005A5575">
        <w:tc>
          <w:tcPr>
            <w:tcW w:w="829" w:type="dxa"/>
            <w:shd w:val="clear" w:color="auto" w:fill="E36C0A"/>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Conemaugh</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3118</w:t>
            </w:r>
          </w:p>
        </w:tc>
        <w:tc>
          <w:tcPr>
            <w:tcW w:w="900" w:type="dxa"/>
            <w:shd w:val="clear" w:color="auto" w:fill="FF00FF"/>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0.320</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3,909</w:t>
            </w:r>
          </w:p>
        </w:tc>
      </w:tr>
      <w:tr w:rsidR="00BC02DA" w:rsidRPr="005A5575">
        <w:tc>
          <w:tcPr>
            <w:tcW w:w="829" w:type="dxa"/>
            <w:shd w:val="clear" w:color="auto" w:fill="E36C0A"/>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Montour</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3149</w:t>
            </w:r>
          </w:p>
        </w:tc>
        <w:tc>
          <w:tcPr>
            <w:tcW w:w="900" w:type="dxa"/>
            <w:shd w:val="clear" w:color="auto" w:fill="FF00FF"/>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0.414</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3,794</w:t>
            </w:r>
          </w:p>
        </w:tc>
      </w:tr>
      <w:tr w:rsidR="00BC02DA" w:rsidRPr="005A5575">
        <w:tc>
          <w:tcPr>
            <w:tcW w:w="829" w:type="dxa"/>
            <w:shd w:val="clear" w:color="auto" w:fill="E36C0A"/>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Conemaugh</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3118</w:t>
            </w:r>
          </w:p>
        </w:tc>
        <w:tc>
          <w:tcPr>
            <w:tcW w:w="900" w:type="dxa"/>
            <w:shd w:val="clear" w:color="auto" w:fill="FF00FF"/>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0.300</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3,789</w:t>
            </w:r>
          </w:p>
        </w:tc>
      </w:tr>
      <w:tr w:rsidR="00BC02DA" w:rsidRPr="005A5575">
        <w:tc>
          <w:tcPr>
            <w:tcW w:w="829" w:type="dxa"/>
            <w:shd w:val="clear" w:color="auto" w:fill="E36C0A"/>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Keystone</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3136</w:t>
            </w:r>
          </w:p>
        </w:tc>
        <w:tc>
          <w:tcPr>
            <w:tcW w:w="900" w:type="dxa"/>
            <w:shd w:val="clear" w:color="auto" w:fill="FF00FF"/>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0.343</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3,774</w:t>
            </w:r>
          </w:p>
        </w:tc>
      </w:tr>
      <w:tr w:rsidR="00BC02DA" w:rsidRPr="005A5575">
        <w:tc>
          <w:tcPr>
            <w:tcW w:w="829" w:type="dxa"/>
            <w:shd w:val="clear" w:color="auto" w:fill="E36C0A"/>
          </w:tcPr>
          <w:p w:rsidR="00BC02DA"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BC02DA" w:rsidRPr="005A5575" w:rsidRDefault="000C26F7"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w:t>
            </w:r>
          </w:p>
        </w:tc>
        <w:tc>
          <w:tcPr>
            <w:tcW w:w="1962"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0.509</w:t>
            </w:r>
          </w:p>
        </w:tc>
        <w:tc>
          <w:tcPr>
            <w:tcW w:w="1476" w:type="dxa"/>
            <w:shd w:val="clear" w:color="auto" w:fill="D9D9D9"/>
          </w:tcPr>
          <w:p w:rsidR="00BC02DA"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3,677</w:t>
            </w:r>
          </w:p>
        </w:tc>
      </w:tr>
      <w:tr w:rsidR="000C26F7" w:rsidRPr="005A5575">
        <w:tc>
          <w:tcPr>
            <w:tcW w:w="829" w:type="dxa"/>
            <w:shd w:val="clear" w:color="auto" w:fill="E36C0A"/>
          </w:tcPr>
          <w:p w:rsidR="000C26F7"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0C26F7" w:rsidRPr="005A5575" w:rsidRDefault="000C26F7"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0C26F7"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0C26F7"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1</w:t>
            </w:r>
          </w:p>
        </w:tc>
        <w:tc>
          <w:tcPr>
            <w:tcW w:w="1962" w:type="dxa"/>
            <w:shd w:val="clear" w:color="auto" w:fill="D9D9D9"/>
          </w:tcPr>
          <w:p w:rsidR="000C26F7"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0.486</w:t>
            </w:r>
          </w:p>
        </w:tc>
        <w:tc>
          <w:tcPr>
            <w:tcW w:w="1476" w:type="dxa"/>
            <w:shd w:val="clear" w:color="auto" w:fill="D9D9D9"/>
          </w:tcPr>
          <w:p w:rsidR="000C26F7"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3,601</w:t>
            </w:r>
          </w:p>
        </w:tc>
      </w:tr>
      <w:tr w:rsidR="000C26F7" w:rsidRPr="005A5575">
        <w:tc>
          <w:tcPr>
            <w:tcW w:w="829" w:type="dxa"/>
            <w:shd w:val="clear" w:color="auto" w:fill="E36C0A"/>
          </w:tcPr>
          <w:p w:rsidR="000C26F7"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0C26F7" w:rsidRPr="005A5575" w:rsidRDefault="000C26F7"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0C26F7" w:rsidRPr="005A5575" w:rsidRDefault="000C26F7"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2</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0.520</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3,589</w:t>
            </w:r>
          </w:p>
        </w:tc>
      </w:tr>
      <w:tr w:rsidR="000C26F7" w:rsidRPr="005A5575">
        <w:tc>
          <w:tcPr>
            <w:tcW w:w="829" w:type="dxa"/>
            <w:shd w:val="clear" w:color="auto" w:fill="E36C0A"/>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Montour</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3149</w:t>
            </w:r>
          </w:p>
        </w:tc>
        <w:tc>
          <w:tcPr>
            <w:tcW w:w="900" w:type="dxa"/>
            <w:shd w:val="clear" w:color="auto" w:fill="FF00FF"/>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0.402</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3,543</w:t>
            </w:r>
          </w:p>
        </w:tc>
      </w:tr>
      <w:tr w:rsidR="000C26F7" w:rsidRPr="005A5575">
        <w:tc>
          <w:tcPr>
            <w:tcW w:w="829" w:type="dxa"/>
            <w:shd w:val="clear" w:color="auto" w:fill="92D050"/>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White Bluff</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6009</w:t>
            </w:r>
          </w:p>
        </w:tc>
        <w:tc>
          <w:tcPr>
            <w:tcW w:w="90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0.278</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3,504</w:t>
            </w:r>
          </w:p>
        </w:tc>
      </w:tr>
      <w:tr w:rsidR="000C26F7" w:rsidRPr="005A5575">
        <w:tc>
          <w:tcPr>
            <w:tcW w:w="829" w:type="dxa"/>
            <w:shd w:val="clear" w:color="auto" w:fill="92D050"/>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White Bluff</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6009</w:t>
            </w:r>
          </w:p>
        </w:tc>
        <w:tc>
          <w:tcPr>
            <w:tcW w:w="90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0.246</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3,383</w:t>
            </w:r>
          </w:p>
        </w:tc>
      </w:tr>
      <w:tr w:rsidR="000C26F7" w:rsidRPr="005A5575">
        <w:tc>
          <w:tcPr>
            <w:tcW w:w="829" w:type="dxa"/>
            <w:shd w:val="clear" w:color="auto" w:fill="FF66FF"/>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Thomas Hill Energy Center</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2168</w:t>
            </w:r>
          </w:p>
        </w:tc>
        <w:tc>
          <w:tcPr>
            <w:tcW w:w="900" w:type="dxa"/>
            <w:shd w:val="clear" w:color="auto" w:fill="FF00FF"/>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MB2</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0.684</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3,236</w:t>
            </w:r>
          </w:p>
        </w:tc>
      </w:tr>
      <w:tr w:rsidR="000C26F7" w:rsidRPr="005A5575">
        <w:tc>
          <w:tcPr>
            <w:tcW w:w="829" w:type="dxa"/>
            <w:shd w:val="clear" w:color="auto" w:fill="92D050"/>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Independence</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6641</w:t>
            </w:r>
          </w:p>
        </w:tc>
        <w:tc>
          <w:tcPr>
            <w:tcW w:w="90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0.205</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2,816</w:t>
            </w:r>
          </w:p>
        </w:tc>
      </w:tr>
      <w:tr w:rsidR="000C26F7" w:rsidRPr="005A5575">
        <w:tc>
          <w:tcPr>
            <w:tcW w:w="829" w:type="dxa"/>
            <w:shd w:val="clear" w:color="auto" w:fill="FF00FF"/>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WV</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Fort Martin Power Station</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3943</w:t>
            </w:r>
          </w:p>
        </w:tc>
        <w:tc>
          <w:tcPr>
            <w:tcW w:w="90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0.319</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2,730</w:t>
            </w:r>
          </w:p>
        </w:tc>
      </w:tr>
      <w:tr w:rsidR="000C26F7" w:rsidRPr="005A5575">
        <w:tc>
          <w:tcPr>
            <w:tcW w:w="829" w:type="dxa"/>
            <w:shd w:val="clear" w:color="auto" w:fill="00CCFF"/>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AL</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E C Gaston</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26</w:t>
            </w:r>
          </w:p>
        </w:tc>
        <w:tc>
          <w:tcPr>
            <w:tcW w:w="900" w:type="dxa"/>
            <w:shd w:val="clear" w:color="auto" w:fill="FF00FF"/>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5</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0.203</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2,656</w:t>
            </w:r>
          </w:p>
        </w:tc>
      </w:tr>
      <w:tr w:rsidR="000C26F7" w:rsidRPr="005A5575">
        <w:tc>
          <w:tcPr>
            <w:tcW w:w="829" w:type="dxa"/>
            <w:shd w:val="clear" w:color="auto" w:fill="FF00FF"/>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WV</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Harrison Power Station </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3944</w:t>
            </w:r>
          </w:p>
        </w:tc>
        <w:tc>
          <w:tcPr>
            <w:tcW w:w="900" w:type="dxa"/>
            <w:shd w:val="clear" w:color="auto" w:fill="FF00FF"/>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0.308</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2,628</w:t>
            </w:r>
          </w:p>
        </w:tc>
      </w:tr>
      <w:tr w:rsidR="000C26F7" w:rsidRPr="005A5575">
        <w:tc>
          <w:tcPr>
            <w:tcW w:w="829" w:type="dxa"/>
            <w:shd w:val="clear" w:color="auto" w:fill="E36C0A"/>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Brunner Island</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3140</w:t>
            </w:r>
          </w:p>
        </w:tc>
        <w:tc>
          <w:tcPr>
            <w:tcW w:w="90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0.346</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2,601</w:t>
            </w:r>
          </w:p>
        </w:tc>
      </w:tr>
      <w:tr w:rsidR="00E22A51" w:rsidRPr="005A5575">
        <w:tc>
          <w:tcPr>
            <w:tcW w:w="829" w:type="dxa"/>
            <w:shd w:val="clear" w:color="auto" w:fill="FF00FF"/>
          </w:tcPr>
          <w:p w:rsidR="00E22A51"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WV</w:t>
            </w:r>
          </w:p>
        </w:tc>
        <w:tc>
          <w:tcPr>
            <w:tcW w:w="2429" w:type="dxa"/>
            <w:shd w:val="clear" w:color="auto" w:fill="D9D9D9"/>
          </w:tcPr>
          <w:p w:rsidR="00E22A51"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Harrison Power Station</w:t>
            </w:r>
          </w:p>
        </w:tc>
        <w:tc>
          <w:tcPr>
            <w:tcW w:w="1260" w:type="dxa"/>
            <w:shd w:val="clear" w:color="auto" w:fill="D9D9D9"/>
          </w:tcPr>
          <w:p w:rsidR="00E22A51"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3944</w:t>
            </w:r>
          </w:p>
        </w:tc>
        <w:tc>
          <w:tcPr>
            <w:tcW w:w="900" w:type="dxa"/>
            <w:shd w:val="clear" w:color="auto" w:fill="FF00FF"/>
          </w:tcPr>
          <w:p w:rsidR="00E22A51"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E22A51"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0.313</w:t>
            </w:r>
          </w:p>
        </w:tc>
        <w:tc>
          <w:tcPr>
            <w:tcW w:w="1476" w:type="dxa"/>
            <w:shd w:val="clear" w:color="auto" w:fill="D9D9D9"/>
          </w:tcPr>
          <w:p w:rsidR="00E22A51"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2,569</w:t>
            </w:r>
          </w:p>
        </w:tc>
      </w:tr>
      <w:tr w:rsidR="000C26F7" w:rsidRPr="005A5575">
        <w:tc>
          <w:tcPr>
            <w:tcW w:w="829" w:type="dxa"/>
            <w:shd w:val="clear" w:color="auto" w:fill="FABF8F"/>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MI</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Monroe</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1733</w:t>
            </w:r>
          </w:p>
        </w:tc>
        <w:tc>
          <w:tcPr>
            <w:tcW w:w="90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2</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0.259</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2,536</w:t>
            </w:r>
          </w:p>
        </w:tc>
      </w:tr>
      <w:tr w:rsidR="000C26F7" w:rsidRPr="005A5575">
        <w:tc>
          <w:tcPr>
            <w:tcW w:w="829" w:type="dxa"/>
            <w:shd w:val="clear" w:color="auto" w:fill="FABF8F"/>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MI</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Monroe</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1733</w:t>
            </w:r>
          </w:p>
        </w:tc>
        <w:tc>
          <w:tcPr>
            <w:tcW w:w="900" w:type="dxa"/>
            <w:shd w:val="clear" w:color="auto" w:fill="FF00FF"/>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0.247</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2,517</w:t>
            </w:r>
          </w:p>
        </w:tc>
      </w:tr>
      <w:tr w:rsidR="000C26F7" w:rsidRPr="005A5575">
        <w:tc>
          <w:tcPr>
            <w:tcW w:w="829" w:type="dxa"/>
            <w:shd w:val="clear" w:color="auto" w:fill="548DD4"/>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OH</w:t>
            </w:r>
          </w:p>
        </w:tc>
        <w:tc>
          <w:tcPr>
            <w:tcW w:w="2429" w:type="dxa"/>
            <w:shd w:val="clear" w:color="auto" w:fill="D9D9D9"/>
          </w:tcPr>
          <w:p w:rsidR="000C26F7" w:rsidRPr="005A5575" w:rsidRDefault="00E22A51"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Killen Station</w:t>
            </w:r>
          </w:p>
        </w:tc>
        <w:tc>
          <w:tcPr>
            <w:tcW w:w="1260"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6031</w:t>
            </w:r>
          </w:p>
        </w:tc>
        <w:tc>
          <w:tcPr>
            <w:tcW w:w="900" w:type="dxa"/>
            <w:shd w:val="clear" w:color="auto" w:fill="FF00FF"/>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0.351</w:t>
            </w:r>
          </w:p>
        </w:tc>
        <w:tc>
          <w:tcPr>
            <w:tcW w:w="1476" w:type="dxa"/>
            <w:shd w:val="clear" w:color="auto" w:fill="D9D9D9"/>
          </w:tcPr>
          <w:p w:rsidR="000C26F7" w:rsidRPr="005A5575" w:rsidRDefault="00E22A51"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2,426</w:t>
            </w:r>
          </w:p>
        </w:tc>
      </w:tr>
      <w:tr w:rsidR="000C26F7" w:rsidRPr="005A5575">
        <w:tc>
          <w:tcPr>
            <w:tcW w:w="8856" w:type="dxa"/>
            <w:gridSpan w:val="6"/>
            <w:shd w:val="clear" w:color="auto" w:fill="D9D9D9"/>
          </w:tcPr>
          <w:p w:rsidR="000C26F7" w:rsidRPr="005A5575" w:rsidRDefault="000C26F7" w:rsidP="005A5575">
            <w:pPr>
              <w:autoSpaceDE w:val="0"/>
              <w:autoSpaceDN w:val="0"/>
              <w:adjustRightInd w:val="0"/>
              <w:rPr>
                <w:rFonts w:ascii="TimesNewRomanPSMT" w:hAnsi="TimesNewRomanPSMT" w:cs="TimesNewRomanPSMT"/>
                <w:sz w:val="19"/>
                <w:szCs w:val="19"/>
              </w:rPr>
            </w:pPr>
          </w:p>
        </w:tc>
      </w:tr>
      <w:tr w:rsidR="000C26F7" w:rsidRPr="005A5575">
        <w:tc>
          <w:tcPr>
            <w:tcW w:w="8856" w:type="dxa"/>
            <w:gridSpan w:val="6"/>
            <w:shd w:val="clear" w:color="auto" w:fill="D9D9D9"/>
          </w:tcPr>
          <w:p w:rsidR="000C26F7"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Red Text Indicates Units Scheduled to Retire</w:t>
            </w:r>
          </w:p>
        </w:tc>
      </w:tr>
      <w:tr w:rsidR="000C26F7" w:rsidRPr="005A5575">
        <w:tc>
          <w:tcPr>
            <w:tcW w:w="8856" w:type="dxa"/>
            <w:gridSpan w:val="6"/>
            <w:shd w:val="clear" w:color="auto" w:fill="D9D9D9"/>
          </w:tcPr>
          <w:p w:rsidR="000C26F7"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Blue Text indicates Units with Future Controls Planned</w:t>
            </w:r>
          </w:p>
        </w:tc>
      </w:tr>
      <w:tr w:rsidR="000C26F7" w:rsidRPr="005A5575">
        <w:tc>
          <w:tcPr>
            <w:tcW w:w="8856" w:type="dxa"/>
            <w:gridSpan w:val="6"/>
            <w:shd w:val="clear" w:color="auto" w:fill="D9D9D9"/>
          </w:tcPr>
          <w:p w:rsidR="000C26F7" w:rsidRPr="005A5575" w:rsidRDefault="000C26F7"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Pink Text indicates Units with Installed Pollution Controls</w:t>
            </w:r>
          </w:p>
        </w:tc>
      </w:tr>
      <w:tr w:rsidR="00AA1A3B" w:rsidRPr="005A5575">
        <w:tc>
          <w:tcPr>
            <w:tcW w:w="8856" w:type="dxa"/>
            <w:gridSpan w:val="6"/>
            <w:shd w:val="clear" w:color="auto" w:fill="D9D9D9"/>
          </w:tcPr>
          <w:p w:rsidR="00AA1A3B" w:rsidRPr="005A5575" w:rsidRDefault="00AA1A3B" w:rsidP="005A5575">
            <w:pPr>
              <w:autoSpaceDE w:val="0"/>
              <w:autoSpaceDN w:val="0"/>
              <w:adjustRightInd w:val="0"/>
              <w:rPr>
                <w:rFonts w:ascii="TimesNewRomanPSMT" w:hAnsi="TimesNewRomanPSMT" w:cs="TimesNewRomanPSMT"/>
                <w:sz w:val="19"/>
                <w:szCs w:val="19"/>
              </w:rPr>
            </w:pPr>
            <w:r>
              <w:rPr>
                <w:rFonts w:ascii="TimesNewRomanPSMT" w:hAnsi="TimesNewRomanPSMT" w:cs="TimesNewRomanPSMT"/>
                <w:sz w:val="19"/>
                <w:szCs w:val="19"/>
              </w:rPr>
              <w:t xml:space="preserve">* </w:t>
            </w:r>
            <w:proofErr w:type="spellStart"/>
            <w:r>
              <w:rPr>
                <w:rFonts w:ascii="TimesNewRomanPSMT" w:hAnsi="TimesNewRomanPSMT" w:cs="TimesNewRomanPSMT"/>
                <w:sz w:val="19"/>
                <w:szCs w:val="19"/>
              </w:rPr>
              <w:t>Conemaugh</w:t>
            </w:r>
            <w:proofErr w:type="spellEnd"/>
            <w:r>
              <w:rPr>
                <w:rFonts w:ascii="TimesNewRomanPSMT" w:hAnsi="TimesNewRomanPSMT" w:cs="TimesNewRomanPSMT"/>
                <w:sz w:val="19"/>
                <w:szCs w:val="19"/>
              </w:rPr>
              <w:t xml:space="preserve"> has installed controls on Unit 1 and 2</w:t>
            </w:r>
          </w:p>
        </w:tc>
      </w:tr>
      <w:tr w:rsidR="00AA1A3B" w:rsidRPr="005A5575">
        <w:tc>
          <w:tcPr>
            <w:tcW w:w="8856" w:type="dxa"/>
            <w:gridSpan w:val="6"/>
            <w:shd w:val="clear" w:color="auto" w:fill="D9D9D9"/>
          </w:tcPr>
          <w:p w:rsidR="00AA1A3B" w:rsidRPr="005A5575" w:rsidRDefault="00AA1A3B" w:rsidP="005A5575">
            <w:pPr>
              <w:autoSpaceDE w:val="0"/>
              <w:autoSpaceDN w:val="0"/>
              <w:adjustRightInd w:val="0"/>
              <w:rPr>
                <w:rFonts w:ascii="TimesNewRomanPSMT" w:hAnsi="TimesNewRomanPSMT" w:cs="TimesNewRomanPSMT"/>
                <w:sz w:val="19"/>
                <w:szCs w:val="19"/>
              </w:rPr>
            </w:pPr>
            <w:r>
              <w:rPr>
                <w:rFonts w:ascii="TimesNewRomanPSMT" w:hAnsi="TimesNewRomanPSMT" w:cs="TimesNewRomanPSMT"/>
                <w:sz w:val="19"/>
                <w:szCs w:val="19"/>
              </w:rPr>
              <w:t>* Hatfield's Ferry closed as of October 2013</w:t>
            </w:r>
          </w:p>
        </w:tc>
      </w:tr>
    </w:tbl>
    <w:p w:rsidR="00BC02DA" w:rsidRDefault="00BC02DA" w:rsidP="00BC02DA">
      <w:pPr>
        <w:jc w:val="center"/>
        <w:rPr>
          <w:rFonts w:cs="Arial"/>
          <w:b/>
          <w:u w:val="single"/>
        </w:rPr>
      </w:pPr>
    </w:p>
    <w:p w:rsidR="003516F2" w:rsidRDefault="003516F2" w:rsidP="00BC02DA">
      <w:pPr>
        <w:jc w:val="center"/>
        <w:rPr>
          <w:rFonts w:cs="Arial"/>
          <w:b/>
          <w:u w:val="single"/>
        </w:rPr>
      </w:pPr>
    </w:p>
    <w:p w:rsidR="003516F2" w:rsidRDefault="003516F2" w:rsidP="00BC02DA">
      <w:pPr>
        <w:jc w:val="center"/>
        <w:rPr>
          <w:rFonts w:cs="Arial"/>
          <w:b/>
          <w:u w:val="single"/>
        </w:rPr>
      </w:pPr>
    </w:p>
    <w:p w:rsidR="003516F2" w:rsidRDefault="003516F2" w:rsidP="00BC02DA">
      <w:pPr>
        <w:jc w:val="center"/>
        <w:rPr>
          <w:rFonts w:cs="Arial"/>
          <w:b/>
          <w:u w:val="single"/>
        </w:rPr>
      </w:pPr>
    </w:p>
    <w:p w:rsidR="003516F2" w:rsidRDefault="003516F2" w:rsidP="00BC02DA">
      <w:pPr>
        <w:jc w:val="center"/>
        <w:rPr>
          <w:rFonts w:cs="Arial"/>
          <w:b/>
          <w:u w:val="single"/>
        </w:rPr>
      </w:pPr>
    </w:p>
    <w:p w:rsidR="003516F2" w:rsidRDefault="003516F2" w:rsidP="00BC02DA">
      <w:pPr>
        <w:jc w:val="center"/>
        <w:rPr>
          <w:rFonts w:cs="Arial"/>
          <w:b/>
          <w:u w:val="single"/>
        </w:rPr>
      </w:pPr>
    </w:p>
    <w:p w:rsidR="00A848AB" w:rsidRDefault="00A848AB" w:rsidP="00BC02DA">
      <w:pPr>
        <w:jc w:val="center"/>
        <w:rPr>
          <w:rFonts w:cs="Arial"/>
          <w:b/>
          <w:u w:val="single"/>
        </w:rPr>
      </w:pPr>
    </w:p>
    <w:p w:rsidR="00A848AB" w:rsidRDefault="00A848AB" w:rsidP="00BC02DA">
      <w:pPr>
        <w:jc w:val="center"/>
        <w:rPr>
          <w:rFonts w:cs="Arial"/>
          <w:b/>
          <w:u w:val="single"/>
        </w:rPr>
      </w:pPr>
    </w:p>
    <w:p w:rsidR="00AD160A" w:rsidRDefault="00AD160A" w:rsidP="00BC02DA">
      <w:pPr>
        <w:jc w:val="center"/>
        <w:rPr>
          <w:rFonts w:cs="Arial"/>
          <w:b/>
          <w:u w:val="single"/>
        </w:rPr>
      </w:pPr>
      <w:r>
        <w:rPr>
          <w:rFonts w:cs="Arial"/>
          <w:b/>
          <w:u w:val="single"/>
        </w:rPr>
        <w:lastRenderedPageBreak/>
        <w:t>Top 25 NOx Emitters 2013 Ozone Season</w:t>
      </w:r>
    </w:p>
    <w:p w:rsidR="00AD160A" w:rsidRDefault="00AD160A" w:rsidP="00BC02DA">
      <w:pPr>
        <w:jc w:val="center"/>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
        <w:gridCol w:w="2429"/>
        <w:gridCol w:w="1260"/>
        <w:gridCol w:w="900"/>
        <w:gridCol w:w="1962"/>
        <w:gridCol w:w="1476"/>
      </w:tblGrid>
      <w:tr w:rsidR="00AD160A" w:rsidRPr="005A5575">
        <w:tc>
          <w:tcPr>
            <w:tcW w:w="829" w:type="dxa"/>
            <w:shd w:val="clear" w:color="auto" w:fill="D9D9D9"/>
          </w:tcPr>
          <w:p w:rsidR="00AD160A" w:rsidRPr="005A5575" w:rsidRDefault="00AD160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STATE</w:t>
            </w:r>
          </w:p>
        </w:tc>
        <w:tc>
          <w:tcPr>
            <w:tcW w:w="2429" w:type="dxa"/>
            <w:shd w:val="clear" w:color="auto" w:fill="D9D9D9"/>
          </w:tcPr>
          <w:p w:rsidR="00AD160A" w:rsidRPr="005A5575" w:rsidRDefault="00AD160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Facility Name</w:t>
            </w:r>
          </w:p>
        </w:tc>
        <w:tc>
          <w:tcPr>
            <w:tcW w:w="1260" w:type="dxa"/>
            <w:shd w:val="clear" w:color="auto" w:fill="D9D9D9"/>
          </w:tcPr>
          <w:p w:rsidR="00AD160A" w:rsidRPr="005A5575" w:rsidRDefault="00AD160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Facility ID</w:t>
            </w:r>
          </w:p>
        </w:tc>
        <w:tc>
          <w:tcPr>
            <w:tcW w:w="900" w:type="dxa"/>
            <w:shd w:val="clear" w:color="auto" w:fill="D9D9D9"/>
          </w:tcPr>
          <w:p w:rsidR="00AD160A" w:rsidRPr="005A5575" w:rsidRDefault="00AD160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UNIT ID</w:t>
            </w:r>
          </w:p>
        </w:tc>
        <w:tc>
          <w:tcPr>
            <w:tcW w:w="1962" w:type="dxa"/>
            <w:shd w:val="clear" w:color="auto" w:fill="D9D9D9"/>
          </w:tcPr>
          <w:p w:rsidR="00AD160A" w:rsidRPr="005A5575" w:rsidRDefault="00AD160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Avg. NOx Rate (lb/MMBtu)</w:t>
            </w:r>
          </w:p>
        </w:tc>
        <w:tc>
          <w:tcPr>
            <w:tcW w:w="1476" w:type="dxa"/>
            <w:shd w:val="clear" w:color="auto" w:fill="D9D9D9"/>
          </w:tcPr>
          <w:p w:rsidR="00AD160A" w:rsidRPr="005A5575" w:rsidRDefault="00AD160A"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NOx (Tons)</w:t>
            </w:r>
          </w:p>
        </w:tc>
      </w:tr>
      <w:tr w:rsidR="001665F2" w:rsidRPr="005A5575">
        <w:tc>
          <w:tcPr>
            <w:tcW w:w="829" w:type="dxa"/>
            <w:shd w:val="clear" w:color="auto" w:fill="FF66FF"/>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New Madrid Power Plant</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2167</w:t>
            </w:r>
          </w:p>
        </w:tc>
        <w:tc>
          <w:tcPr>
            <w:tcW w:w="900" w:type="dxa"/>
            <w:shd w:val="clear" w:color="auto" w:fill="FF00FF"/>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0.499</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4,328</w:t>
            </w:r>
          </w:p>
        </w:tc>
      </w:tr>
      <w:tr w:rsidR="00AD160A" w:rsidRPr="005A5575">
        <w:tc>
          <w:tcPr>
            <w:tcW w:w="829" w:type="dxa"/>
            <w:shd w:val="clear" w:color="auto" w:fill="548DD4"/>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OH</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W H Zimmer Generating Station </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6019</w:t>
            </w:r>
          </w:p>
        </w:tc>
        <w:tc>
          <w:tcPr>
            <w:tcW w:w="900" w:type="dxa"/>
            <w:shd w:val="clear" w:color="auto" w:fill="FF00FF"/>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0.219</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4,261</w:t>
            </w:r>
          </w:p>
        </w:tc>
      </w:tr>
      <w:tr w:rsidR="001665F2" w:rsidRPr="005A5575">
        <w:tc>
          <w:tcPr>
            <w:tcW w:w="829" w:type="dxa"/>
            <w:shd w:val="clear" w:color="auto" w:fill="92D050"/>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White Bluff</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6009</w:t>
            </w:r>
          </w:p>
        </w:tc>
        <w:tc>
          <w:tcPr>
            <w:tcW w:w="90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0.283</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4,193</w:t>
            </w:r>
          </w:p>
        </w:tc>
      </w:tr>
      <w:tr w:rsidR="00D46B75" w:rsidRPr="005A5575">
        <w:tc>
          <w:tcPr>
            <w:tcW w:w="829" w:type="dxa"/>
            <w:shd w:val="clear" w:color="auto" w:fill="FF66FF"/>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New Madrid Power Plant</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2167</w:t>
            </w:r>
          </w:p>
        </w:tc>
        <w:tc>
          <w:tcPr>
            <w:tcW w:w="900" w:type="dxa"/>
            <w:shd w:val="clear" w:color="auto" w:fill="FF00FF"/>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0.609</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4,126</w:t>
            </w:r>
          </w:p>
        </w:tc>
      </w:tr>
      <w:tr w:rsidR="001665F2" w:rsidRPr="005A5575">
        <w:tc>
          <w:tcPr>
            <w:tcW w:w="829" w:type="dxa"/>
            <w:shd w:val="clear" w:color="auto" w:fill="92D050"/>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White Bluff</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6009</w:t>
            </w:r>
          </w:p>
        </w:tc>
        <w:tc>
          <w:tcPr>
            <w:tcW w:w="90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0.291</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4,096</w:t>
            </w:r>
          </w:p>
        </w:tc>
      </w:tr>
      <w:tr w:rsidR="001665F2" w:rsidRPr="005A5575">
        <w:tc>
          <w:tcPr>
            <w:tcW w:w="829" w:type="dxa"/>
            <w:shd w:val="clear" w:color="auto" w:fill="E36C0A"/>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Conemaugh</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3118</w:t>
            </w:r>
          </w:p>
        </w:tc>
        <w:tc>
          <w:tcPr>
            <w:tcW w:w="900" w:type="dxa"/>
            <w:shd w:val="clear" w:color="auto" w:fill="FF00FF"/>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0.318</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4,095</w:t>
            </w:r>
          </w:p>
        </w:tc>
      </w:tr>
      <w:tr w:rsidR="001665F2" w:rsidRPr="005A5575">
        <w:tc>
          <w:tcPr>
            <w:tcW w:w="829" w:type="dxa"/>
            <w:shd w:val="clear" w:color="auto" w:fill="C6D9F1"/>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IN</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Rockport</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6166</w:t>
            </w:r>
          </w:p>
        </w:tc>
        <w:tc>
          <w:tcPr>
            <w:tcW w:w="90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MB1</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0.213</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3,997</w:t>
            </w:r>
          </w:p>
        </w:tc>
      </w:tr>
      <w:tr w:rsidR="001665F2" w:rsidRPr="005A5575">
        <w:tc>
          <w:tcPr>
            <w:tcW w:w="829" w:type="dxa"/>
            <w:shd w:val="clear" w:color="auto" w:fill="E36C0A"/>
          </w:tcPr>
          <w:p w:rsidR="00AD160A"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PA </w:t>
            </w:r>
          </w:p>
        </w:tc>
        <w:tc>
          <w:tcPr>
            <w:tcW w:w="2429" w:type="dxa"/>
            <w:shd w:val="clear" w:color="auto" w:fill="D9D9D9"/>
          </w:tcPr>
          <w:p w:rsidR="00AD160A" w:rsidRPr="005A5575" w:rsidRDefault="001665F2"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2</w:t>
            </w:r>
          </w:p>
        </w:tc>
        <w:tc>
          <w:tcPr>
            <w:tcW w:w="1962"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0.491</w:t>
            </w:r>
          </w:p>
        </w:tc>
        <w:tc>
          <w:tcPr>
            <w:tcW w:w="1476" w:type="dxa"/>
            <w:shd w:val="clear" w:color="auto" w:fill="D9D9D9"/>
          </w:tcPr>
          <w:p w:rsidR="00AD160A" w:rsidRPr="005A5575" w:rsidRDefault="001665F2"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3,876</w:t>
            </w:r>
          </w:p>
        </w:tc>
      </w:tr>
      <w:tr w:rsidR="001665F2" w:rsidRPr="005A5575">
        <w:tc>
          <w:tcPr>
            <w:tcW w:w="829" w:type="dxa"/>
            <w:shd w:val="clear" w:color="auto" w:fill="E36C0A"/>
          </w:tcPr>
          <w:p w:rsidR="001665F2" w:rsidRPr="005A5575" w:rsidRDefault="001665F2"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PA </w:t>
            </w:r>
          </w:p>
        </w:tc>
        <w:tc>
          <w:tcPr>
            <w:tcW w:w="2429" w:type="dxa"/>
            <w:shd w:val="clear" w:color="auto" w:fill="D9D9D9"/>
          </w:tcPr>
          <w:p w:rsidR="001665F2" w:rsidRPr="005A5575" w:rsidRDefault="001665F2"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1665F2"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1665F2"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1</w:t>
            </w:r>
          </w:p>
        </w:tc>
        <w:tc>
          <w:tcPr>
            <w:tcW w:w="1962" w:type="dxa"/>
            <w:shd w:val="clear" w:color="auto" w:fill="D9D9D9"/>
          </w:tcPr>
          <w:p w:rsidR="001665F2"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0.471</w:t>
            </w:r>
          </w:p>
        </w:tc>
        <w:tc>
          <w:tcPr>
            <w:tcW w:w="1476" w:type="dxa"/>
            <w:shd w:val="clear" w:color="auto" w:fill="D9D9D9"/>
          </w:tcPr>
          <w:p w:rsidR="001665F2"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3,712</w:t>
            </w:r>
          </w:p>
        </w:tc>
      </w:tr>
      <w:tr w:rsidR="00D46B75" w:rsidRPr="005A5575">
        <w:tc>
          <w:tcPr>
            <w:tcW w:w="829" w:type="dxa"/>
            <w:shd w:val="clear" w:color="auto" w:fill="E36C0A"/>
          </w:tcPr>
          <w:p w:rsidR="001665F2"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1665F2"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Conemaugh</w:t>
            </w:r>
          </w:p>
        </w:tc>
        <w:tc>
          <w:tcPr>
            <w:tcW w:w="1260" w:type="dxa"/>
            <w:shd w:val="clear" w:color="auto" w:fill="D9D9D9"/>
          </w:tcPr>
          <w:p w:rsidR="001665F2"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3118</w:t>
            </w:r>
          </w:p>
        </w:tc>
        <w:tc>
          <w:tcPr>
            <w:tcW w:w="900" w:type="dxa"/>
            <w:shd w:val="clear" w:color="auto" w:fill="FF00FF"/>
          </w:tcPr>
          <w:p w:rsidR="001665F2"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1665F2"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0.321</w:t>
            </w:r>
          </w:p>
        </w:tc>
        <w:tc>
          <w:tcPr>
            <w:tcW w:w="1476" w:type="dxa"/>
            <w:shd w:val="clear" w:color="auto" w:fill="D9D9D9"/>
          </w:tcPr>
          <w:p w:rsidR="001665F2"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3,605</w:t>
            </w:r>
          </w:p>
        </w:tc>
      </w:tr>
      <w:tr w:rsidR="00D46B75" w:rsidRPr="005A5575">
        <w:tc>
          <w:tcPr>
            <w:tcW w:w="829" w:type="dxa"/>
            <w:shd w:val="clear" w:color="auto" w:fill="E36C0A"/>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PA </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Hatfield’s Ferry Power Station</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3179</w:t>
            </w:r>
          </w:p>
        </w:tc>
        <w:tc>
          <w:tcPr>
            <w:tcW w:w="90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0.444</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FF0000"/>
                <w:sz w:val="19"/>
                <w:szCs w:val="19"/>
              </w:rPr>
            </w:pPr>
            <w:r w:rsidRPr="005A5575">
              <w:rPr>
                <w:rFonts w:ascii="TimesNewRomanPSMT" w:hAnsi="TimesNewRomanPSMT" w:cs="TimesNewRomanPSMT"/>
                <w:color w:val="FF0000"/>
                <w:sz w:val="19"/>
                <w:szCs w:val="19"/>
              </w:rPr>
              <w:t>3,365</w:t>
            </w:r>
          </w:p>
        </w:tc>
      </w:tr>
      <w:tr w:rsidR="00D46B75" w:rsidRPr="005A5575">
        <w:tc>
          <w:tcPr>
            <w:tcW w:w="829" w:type="dxa"/>
            <w:shd w:val="clear" w:color="auto" w:fill="FABF8F"/>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MI</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 xml:space="preserve">Monroe </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1773</w:t>
            </w:r>
          </w:p>
        </w:tc>
        <w:tc>
          <w:tcPr>
            <w:tcW w:w="90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2</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0.329</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3,308</w:t>
            </w:r>
          </w:p>
        </w:tc>
      </w:tr>
      <w:tr w:rsidR="00A7225C" w:rsidRPr="005A5575">
        <w:tc>
          <w:tcPr>
            <w:tcW w:w="829" w:type="dxa"/>
            <w:shd w:val="clear" w:color="auto" w:fill="E36C0A"/>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Homer City</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3122</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0.332</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3,235</w:t>
            </w:r>
          </w:p>
        </w:tc>
      </w:tr>
      <w:tr w:rsidR="00D46B75" w:rsidRPr="005A5575">
        <w:tc>
          <w:tcPr>
            <w:tcW w:w="829" w:type="dxa"/>
            <w:shd w:val="clear" w:color="auto" w:fill="C6D9F1"/>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xml:space="preserve">IN </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Rockport</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6166</w:t>
            </w:r>
          </w:p>
        </w:tc>
        <w:tc>
          <w:tcPr>
            <w:tcW w:w="90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MB2</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0.213</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color w:val="0000FF"/>
                <w:sz w:val="19"/>
                <w:szCs w:val="19"/>
              </w:rPr>
            </w:pPr>
            <w:r w:rsidRPr="005A5575">
              <w:rPr>
                <w:rFonts w:ascii="TimesNewRomanPSMT" w:hAnsi="TimesNewRomanPSMT" w:cs="TimesNewRomanPSMT"/>
                <w:color w:val="0000FF"/>
                <w:sz w:val="19"/>
                <w:szCs w:val="19"/>
              </w:rPr>
              <w:t>3,217</w:t>
            </w:r>
          </w:p>
        </w:tc>
      </w:tr>
      <w:tr w:rsidR="00D46B75" w:rsidRPr="005A5575">
        <w:tc>
          <w:tcPr>
            <w:tcW w:w="829" w:type="dxa"/>
            <w:shd w:val="clear" w:color="auto" w:fill="FABF8F"/>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MI</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Monroe</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1733</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0.315</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3,062</w:t>
            </w:r>
          </w:p>
        </w:tc>
      </w:tr>
      <w:tr w:rsidR="00A7225C" w:rsidRPr="005A5575">
        <w:tc>
          <w:tcPr>
            <w:tcW w:w="829" w:type="dxa"/>
            <w:shd w:val="clear" w:color="auto" w:fill="E36C0A"/>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Montour</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3149</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0.424</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3,050</w:t>
            </w:r>
          </w:p>
        </w:tc>
      </w:tr>
      <w:tr w:rsidR="00D46B75" w:rsidRPr="005A5575">
        <w:tc>
          <w:tcPr>
            <w:tcW w:w="829" w:type="dxa"/>
            <w:shd w:val="clear" w:color="auto" w:fill="548DD4"/>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OH</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Killen Station</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6031</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0.304</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2,951</w:t>
            </w:r>
          </w:p>
        </w:tc>
      </w:tr>
      <w:tr w:rsidR="00D46B75" w:rsidRPr="005A5575">
        <w:tc>
          <w:tcPr>
            <w:tcW w:w="829" w:type="dxa"/>
            <w:shd w:val="clear" w:color="auto" w:fill="FF00FF"/>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WV</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Fort Martin Power Station</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3943</w:t>
            </w:r>
          </w:p>
        </w:tc>
        <w:tc>
          <w:tcPr>
            <w:tcW w:w="90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0.358</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2,905</w:t>
            </w:r>
          </w:p>
        </w:tc>
      </w:tr>
      <w:tr w:rsidR="00A7225C" w:rsidRPr="005A5575">
        <w:tc>
          <w:tcPr>
            <w:tcW w:w="829" w:type="dxa"/>
            <w:shd w:val="clear" w:color="auto" w:fill="FF00FF"/>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WV</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Harrison Power Station</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3944</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0.301</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2,874</w:t>
            </w:r>
          </w:p>
        </w:tc>
      </w:tr>
      <w:tr w:rsidR="00A7225C" w:rsidRPr="005A5575">
        <w:tc>
          <w:tcPr>
            <w:tcW w:w="829" w:type="dxa"/>
            <w:shd w:val="clear" w:color="auto" w:fill="E36C0A"/>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Montour</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3149</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0.398</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2,864</w:t>
            </w:r>
          </w:p>
        </w:tc>
      </w:tr>
      <w:tr w:rsidR="00D46B75" w:rsidRPr="005A5575">
        <w:tc>
          <w:tcPr>
            <w:tcW w:w="829" w:type="dxa"/>
            <w:shd w:val="clear" w:color="auto" w:fill="FF00FF"/>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WV</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Harrison Power Station</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3944</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1</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0.280</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2,817</w:t>
            </w:r>
          </w:p>
        </w:tc>
      </w:tr>
      <w:tr w:rsidR="00D46B75" w:rsidRPr="005A5575">
        <w:tc>
          <w:tcPr>
            <w:tcW w:w="829" w:type="dxa"/>
            <w:shd w:val="clear" w:color="auto" w:fill="92D050"/>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AR</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Independence</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6641</w:t>
            </w:r>
          </w:p>
        </w:tc>
        <w:tc>
          <w:tcPr>
            <w:tcW w:w="90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0.209</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2,807</w:t>
            </w:r>
          </w:p>
        </w:tc>
      </w:tr>
      <w:tr w:rsidR="00D46B75" w:rsidRPr="005A5575">
        <w:tc>
          <w:tcPr>
            <w:tcW w:w="829" w:type="dxa"/>
            <w:shd w:val="clear" w:color="auto" w:fill="FFFF00"/>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NC</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Marshall</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2727</w:t>
            </w:r>
          </w:p>
        </w:tc>
        <w:tc>
          <w:tcPr>
            <w:tcW w:w="90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4</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0.341</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2,639</w:t>
            </w:r>
          </w:p>
        </w:tc>
      </w:tr>
      <w:tr w:rsidR="00A7225C" w:rsidRPr="005A5575">
        <w:tc>
          <w:tcPr>
            <w:tcW w:w="829" w:type="dxa"/>
            <w:shd w:val="clear" w:color="auto" w:fill="E36C0A"/>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PA</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Homer City</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3122</w:t>
            </w:r>
          </w:p>
        </w:tc>
        <w:tc>
          <w:tcPr>
            <w:tcW w:w="900" w:type="dxa"/>
            <w:shd w:val="clear" w:color="auto" w:fill="FF00FF"/>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0.328</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2,552</w:t>
            </w:r>
          </w:p>
        </w:tc>
      </w:tr>
      <w:tr w:rsidR="00A7225C" w:rsidRPr="005A5575">
        <w:tc>
          <w:tcPr>
            <w:tcW w:w="829" w:type="dxa"/>
            <w:shd w:val="clear" w:color="auto" w:fill="548DD4"/>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OH</w:t>
            </w:r>
          </w:p>
        </w:tc>
        <w:tc>
          <w:tcPr>
            <w:tcW w:w="2429" w:type="dxa"/>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Conesville</w:t>
            </w:r>
          </w:p>
        </w:tc>
        <w:tc>
          <w:tcPr>
            <w:tcW w:w="126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2840</w:t>
            </w:r>
          </w:p>
        </w:tc>
        <w:tc>
          <w:tcPr>
            <w:tcW w:w="900"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5</w:t>
            </w:r>
          </w:p>
        </w:tc>
        <w:tc>
          <w:tcPr>
            <w:tcW w:w="1962"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0.479</w:t>
            </w:r>
          </w:p>
        </w:tc>
        <w:tc>
          <w:tcPr>
            <w:tcW w:w="1476" w:type="dxa"/>
            <w:shd w:val="clear" w:color="auto" w:fill="D9D9D9"/>
          </w:tcPr>
          <w:p w:rsidR="00A7225C" w:rsidRPr="005A5575" w:rsidRDefault="00A7225C" w:rsidP="005A5575">
            <w:pPr>
              <w:autoSpaceDE w:val="0"/>
              <w:autoSpaceDN w:val="0"/>
              <w:adjustRightInd w:val="0"/>
              <w:jc w:val="right"/>
              <w:rPr>
                <w:rFonts w:ascii="TimesNewRomanPSMT" w:hAnsi="TimesNewRomanPSMT" w:cs="TimesNewRomanPSMT"/>
                <w:sz w:val="19"/>
                <w:szCs w:val="19"/>
              </w:rPr>
            </w:pPr>
            <w:r w:rsidRPr="005A5575">
              <w:rPr>
                <w:rFonts w:ascii="TimesNewRomanPSMT" w:hAnsi="TimesNewRomanPSMT" w:cs="TimesNewRomanPSMT"/>
                <w:sz w:val="19"/>
                <w:szCs w:val="19"/>
              </w:rPr>
              <w:t>2,530</w:t>
            </w:r>
          </w:p>
        </w:tc>
      </w:tr>
      <w:tr w:rsidR="00A7225C" w:rsidRPr="005A5575">
        <w:tc>
          <w:tcPr>
            <w:tcW w:w="8856" w:type="dxa"/>
            <w:gridSpan w:val="6"/>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p>
        </w:tc>
      </w:tr>
      <w:tr w:rsidR="00A7225C" w:rsidRPr="005A5575">
        <w:tc>
          <w:tcPr>
            <w:tcW w:w="8856" w:type="dxa"/>
            <w:gridSpan w:val="6"/>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Red Text Indicates Units Scheduled to Retire</w:t>
            </w:r>
          </w:p>
        </w:tc>
      </w:tr>
      <w:tr w:rsidR="00A7225C" w:rsidRPr="005A5575">
        <w:tc>
          <w:tcPr>
            <w:tcW w:w="8856" w:type="dxa"/>
            <w:gridSpan w:val="6"/>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Blue Text indicates Units with Future Controls Planned</w:t>
            </w:r>
          </w:p>
        </w:tc>
      </w:tr>
      <w:tr w:rsidR="00A7225C" w:rsidRPr="005A5575">
        <w:tc>
          <w:tcPr>
            <w:tcW w:w="8856" w:type="dxa"/>
            <w:gridSpan w:val="6"/>
            <w:shd w:val="clear" w:color="auto" w:fill="D9D9D9"/>
          </w:tcPr>
          <w:p w:rsidR="00A7225C" w:rsidRPr="005A5575" w:rsidRDefault="00A7225C" w:rsidP="005A5575">
            <w:pPr>
              <w:autoSpaceDE w:val="0"/>
              <w:autoSpaceDN w:val="0"/>
              <w:adjustRightInd w:val="0"/>
              <w:rPr>
                <w:rFonts w:ascii="TimesNewRomanPSMT" w:hAnsi="TimesNewRomanPSMT" w:cs="TimesNewRomanPSMT"/>
                <w:sz w:val="19"/>
                <w:szCs w:val="19"/>
              </w:rPr>
            </w:pPr>
            <w:r w:rsidRPr="005A5575">
              <w:rPr>
                <w:rFonts w:ascii="TimesNewRomanPSMT" w:hAnsi="TimesNewRomanPSMT" w:cs="TimesNewRomanPSMT"/>
                <w:sz w:val="19"/>
                <w:szCs w:val="19"/>
              </w:rPr>
              <w:t>* Pink Text indicates Units with Installed Pollution Controls</w:t>
            </w:r>
          </w:p>
        </w:tc>
      </w:tr>
      <w:tr w:rsidR="00AA1A3B" w:rsidRPr="005A5575">
        <w:tc>
          <w:tcPr>
            <w:tcW w:w="8856" w:type="dxa"/>
            <w:gridSpan w:val="6"/>
            <w:shd w:val="clear" w:color="auto" w:fill="D9D9D9"/>
          </w:tcPr>
          <w:p w:rsidR="00AA1A3B" w:rsidRPr="005A5575" w:rsidRDefault="003516F2" w:rsidP="005A5575">
            <w:pPr>
              <w:autoSpaceDE w:val="0"/>
              <w:autoSpaceDN w:val="0"/>
              <w:adjustRightInd w:val="0"/>
              <w:rPr>
                <w:rFonts w:ascii="TimesNewRomanPSMT" w:hAnsi="TimesNewRomanPSMT" w:cs="TimesNewRomanPSMT"/>
                <w:sz w:val="19"/>
                <w:szCs w:val="19"/>
              </w:rPr>
            </w:pPr>
            <w:r>
              <w:rPr>
                <w:rFonts w:ascii="TimesNewRomanPSMT" w:hAnsi="TimesNewRomanPSMT" w:cs="TimesNewRomanPSMT"/>
                <w:sz w:val="19"/>
                <w:szCs w:val="19"/>
              </w:rPr>
              <w:t>*</w:t>
            </w:r>
            <w:proofErr w:type="spellStart"/>
            <w:r w:rsidR="00AA1A3B" w:rsidRPr="00945B6F">
              <w:rPr>
                <w:rFonts w:ascii="TimesNewRomanPSMT" w:hAnsi="TimesNewRomanPSMT" w:cs="TimesNewRomanPSMT"/>
                <w:sz w:val="19"/>
                <w:szCs w:val="19"/>
              </w:rPr>
              <w:t>Conemaugh</w:t>
            </w:r>
            <w:proofErr w:type="spellEnd"/>
            <w:r w:rsidR="00AA1A3B" w:rsidRPr="00945B6F">
              <w:rPr>
                <w:rFonts w:ascii="TimesNewRomanPSMT" w:hAnsi="TimesNewRomanPSMT" w:cs="TimesNewRomanPSMT"/>
                <w:sz w:val="19"/>
                <w:szCs w:val="19"/>
              </w:rPr>
              <w:t xml:space="preserve"> has installed controls on Unit 1 and 2</w:t>
            </w:r>
          </w:p>
        </w:tc>
      </w:tr>
      <w:tr w:rsidR="00AA1A3B" w:rsidRPr="005A5575">
        <w:tc>
          <w:tcPr>
            <w:tcW w:w="8856" w:type="dxa"/>
            <w:gridSpan w:val="6"/>
            <w:shd w:val="clear" w:color="auto" w:fill="D9D9D9"/>
          </w:tcPr>
          <w:p w:rsidR="00AA1A3B" w:rsidRPr="005A5575" w:rsidRDefault="00AA1A3B" w:rsidP="005A5575">
            <w:pPr>
              <w:autoSpaceDE w:val="0"/>
              <w:autoSpaceDN w:val="0"/>
              <w:adjustRightInd w:val="0"/>
              <w:rPr>
                <w:rFonts w:ascii="TimesNewRomanPSMT" w:hAnsi="TimesNewRomanPSMT" w:cs="TimesNewRomanPSMT"/>
                <w:sz w:val="19"/>
                <w:szCs w:val="19"/>
              </w:rPr>
            </w:pPr>
            <w:r>
              <w:rPr>
                <w:rFonts w:ascii="TimesNewRomanPSMT" w:hAnsi="TimesNewRomanPSMT" w:cs="TimesNewRomanPSMT"/>
                <w:sz w:val="19"/>
                <w:szCs w:val="19"/>
              </w:rPr>
              <w:t>* Hatfield's Ferry closed as of October 2013</w:t>
            </w:r>
          </w:p>
        </w:tc>
      </w:tr>
    </w:tbl>
    <w:p w:rsidR="00AD160A" w:rsidRPr="00BC02DA" w:rsidRDefault="00AD160A" w:rsidP="00BC02DA">
      <w:pPr>
        <w:jc w:val="center"/>
        <w:rPr>
          <w:rFonts w:cs="Arial"/>
          <w:b/>
          <w:u w:val="single"/>
        </w:rPr>
      </w:pPr>
    </w:p>
    <w:p w:rsidR="00522772" w:rsidRDefault="00522772" w:rsidP="00696146">
      <w:pPr>
        <w:rPr>
          <w:rFonts w:cs="Calibri"/>
        </w:rPr>
      </w:pPr>
    </w:p>
    <w:p w:rsidR="003E42D2" w:rsidRDefault="00696146" w:rsidP="00696146">
      <w:pPr>
        <w:rPr>
          <w:rFonts w:cs="Calibri"/>
        </w:rPr>
      </w:pPr>
      <w:r>
        <w:rPr>
          <w:rFonts w:cs="Calibri"/>
        </w:rPr>
        <w:t>The Top 25 NOx emitters for the 2011</w:t>
      </w:r>
      <w:r w:rsidR="006E77F6">
        <w:rPr>
          <w:rFonts w:cs="Calibri"/>
        </w:rPr>
        <w:t xml:space="preserve">, </w:t>
      </w:r>
      <w:r w:rsidRPr="003E42D2">
        <w:rPr>
          <w:rFonts w:cs="Calibri"/>
        </w:rPr>
        <w:t>2012</w:t>
      </w:r>
      <w:r w:rsidR="006E77F6" w:rsidRPr="003E42D2">
        <w:rPr>
          <w:rFonts w:cs="Calibri"/>
        </w:rPr>
        <w:t xml:space="preserve"> and 2013</w:t>
      </w:r>
      <w:r w:rsidRPr="003E42D2">
        <w:rPr>
          <w:rFonts w:cs="Calibri"/>
        </w:rPr>
        <w:t xml:space="preserve"> ozone</w:t>
      </w:r>
      <w:r>
        <w:rPr>
          <w:rFonts w:cs="Calibri"/>
        </w:rPr>
        <w:t xml:space="preserve"> seasons indicate that while</w:t>
      </w:r>
      <w:r w:rsidR="001174F1">
        <w:rPr>
          <w:rFonts w:cs="Calibri"/>
        </w:rPr>
        <w:t xml:space="preserve"> there are units that appear during all three years, there is also </w:t>
      </w:r>
      <w:proofErr w:type="gramStart"/>
      <w:r w:rsidR="001174F1">
        <w:rPr>
          <w:rFonts w:cs="Calibri"/>
        </w:rPr>
        <w:t xml:space="preserve">a </w:t>
      </w:r>
      <w:r w:rsidR="00A75255">
        <w:rPr>
          <w:rFonts w:cs="Calibri"/>
        </w:rPr>
        <w:t xml:space="preserve"> </w:t>
      </w:r>
      <w:r w:rsidR="00190295">
        <w:rPr>
          <w:rFonts w:cs="Calibri"/>
        </w:rPr>
        <w:t>high</w:t>
      </w:r>
      <w:proofErr w:type="gramEnd"/>
      <w:r w:rsidR="00190295">
        <w:rPr>
          <w:rFonts w:cs="Calibri"/>
        </w:rPr>
        <w:t xml:space="preserve"> degree </w:t>
      </w:r>
      <w:r w:rsidR="001174F1">
        <w:rPr>
          <w:rFonts w:cs="Calibri"/>
        </w:rPr>
        <w:t xml:space="preserve">of </w:t>
      </w:r>
      <w:r w:rsidR="003E42D2">
        <w:rPr>
          <w:rFonts w:cs="Calibri"/>
        </w:rPr>
        <w:t>variation during the three years.</w:t>
      </w:r>
      <w:r>
        <w:rPr>
          <w:rFonts w:cs="Calibri"/>
        </w:rPr>
        <w:t xml:space="preserve"> </w:t>
      </w:r>
      <w:r w:rsidR="003E42D2">
        <w:rPr>
          <w:rFonts w:cs="Calibri"/>
        </w:rPr>
        <w:t>The variation</w:t>
      </w:r>
      <w:r w:rsidR="004009CB">
        <w:rPr>
          <w:rFonts w:cs="Calibri"/>
        </w:rPr>
        <w:t xml:space="preserve"> may be</w:t>
      </w:r>
      <w:r w:rsidR="00A30D1D">
        <w:rPr>
          <w:rFonts w:cs="Calibri"/>
        </w:rPr>
        <w:t xml:space="preserve"> attributed to </w:t>
      </w:r>
      <w:r>
        <w:rPr>
          <w:rFonts w:cs="Calibri"/>
        </w:rPr>
        <w:t xml:space="preserve">changes in fuel prices affecting economic dispatch, maintenance outages, electric demand, operation and/or effectiveness of installed NOx, controls, etc. </w:t>
      </w:r>
      <w:r w:rsidR="003E42D2">
        <w:rPr>
          <w:rFonts w:cs="Calibri"/>
        </w:rPr>
        <w:t xml:space="preserve"> The Subgroup expects that</w:t>
      </w:r>
      <w:r w:rsidR="00190295">
        <w:rPr>
          <w:rFonts w:cs="Calibri"/>
        </w:rPr>
        <w:t>,</w:t>
      </w:r>
      <w:r w:rsidR="003E42D2">
        <w:rPr>
          <w:rFonts w:cs="Calibri"/>
        </w:rPr>
        <w:t xml:space="preserve"> due to the factors listed above </w:t>
      </w:r>
      <w:r w:rsidR="003E42D2" w:rsidRPr="00712702">
        <w:rPr>
          <w:rFonts w:cs="Calibri"/>
        </w:rPr>
        <w:t xml:space="preserve">and </w:t>
      </w:r>
      <w:r w:rsidR="00E83B37">
        <w:rPr>
          <w:rFonts w:cs="Calibri"/>
        </w:rPr>
        <w:t xml:space="preserve">anticipated </w:t>
      </w:r>
      <w:r w:rsidR="003E42D2" w:rsidRPr="00712702">
        <w:rPr>
          <w:rFonts w:cs="Calibri"/>
        </w:rPr>
        <w:t>pollution controls</w:t>
      </w:r>
      <w:r w:rsidR="00190295">
        <w:rPr>
          <w:rFonts w:cs="Calibri"/>
        </w:rPr>
        <w:t>,</w:t>
      </w:r>
      <w:r w:rsidR="003E42D2" w:rsidRPr="00712702">
        <w:rPr>
          <w:rFonts w:cs="Calibri"/>
        </w:rPr>
        <w:t xml:space="preserve"> the </w:t>
      </w:r>
      <w:r w:rsidR="007E0A73" w:rsidRPr="00712702">
        <w:rPr>
          <w:rFonts w:cs="Calibri"/>
        </w:rPr>
        <w:t>list of Top</w:t>
      </w:r>
      <w:r w:rsidR="003E42D2" w:rsidRPr="00712702">
        <w:rPr>
          <w:rFonts w:cs="Calibri"/>
        </w:rPr>
        <w:t xml:space="preserve"> 25 NOx emitters </w:t>
      </w:r>
      <w:r w:rsidR="00E83B37">
        <w:rPr>
          <w:rFonts w:cs="Calibri"/>
        </w:rPr>
        <w:t xml:space="preserve">will </w:t>
      </w:r>
      <w:r w:rsidR="003E42D2" w:rsidRPr="00712702">
        <w:rPr>
          <w:rFonts w:cs="Calibri"/>
        </w:rPr>
        <w:t>continue to change year to year.</w:t>
      </w:r>
    </w:p>
    <w:p w:rsidR="003E42D2" w:rsidRDefault="003E42D2" w:rsidP="00696146">
      <w:pPr>
        <w:rPr>
          <w:rFonts w:cs="Calibri"/>
        </w:rPr>
      </w:pPr>
    </w:p>
    <w:p w:rsidR="00696146" w:rsidRPr="00922FA6" w:rsidRDefault="00696146" w:rsidP="004C6A60">
      <w:pPr>
        <w:rPr>
          <w:rFonts w:cs="Calibri"/>
          <w:u w:val="single"/>
        </w:rPr>
      </w:pPr>
      <w:r w:rsidRPr="003E42D2">
        <w:rPr>
          <w:rFonts w:cs="Calibri"/>
        </w:rPr>
        <w:t xml:space="preserve">The EGUs </w:t>
      </w:r>
      <w:r w:rsidR="009619DB" w:rsidRPr="003E42D2">
        <w:rPr>
          <w:rFonts w:cs="Calibri"/>
        </w:rPr>
        <w:t>identified on the list</w:t>
      </w:r>
      <w:r w:rsidR="00176696" w:rsidRPr="003E42D2">
        <w:rPr>
          <w:rFonts w:cs="Calibri"/>
        </w:rPr>
        <w:t>s include EGUs</w:t>
      </w:r>
      <w:r w:rsidR="009619DB" w:rsidRPr="003E42D2">
        <w:rPr>
          <w:rFonts w:cs="Calibri"/>
        </w:rPr>
        <w:t xml:space="preserve"> equipped with </w:t>
      </w:r>
      <w:r w:rsidRPr="003E42D2">
        <w:rPr>
          <w:rFonts w:cs="Calibri"/>
        </w:rPr>
        <w:t xml:space="preserve">combustion NOx controls, post-combustion NOx controls, and combinations of both types of NOx controls. </w:t>
      </w:r>
      <w:r w:rsidR="00C7301D" w:rsidRPr="003E42D2">
        <w:rPr>
          <w:rFonts w:cs="Calibri"/>
        </w:rPr>
        <w:t>T</w:t>
      </w:r>
      <w:r w:rsidRPr="003E42D2">
        <w:rPr>
          <w:rFonts w:cs="Calibri"/>
        </w:rPr>
        <w:t>he EGU</w:t>
      </w:r>
      <w:r w:rsidR="00D475A4" w:rsidRPr="003E42D2">
        <w:rPr>
          <w:rFonts w:cs="Calibri"/>
        </w:rPr>
        <w:t>s</w:t>
      </w:r>
      <w:r w:rsidRPr="003E42D2">
        <w:rPr>
          <w:rFonts w:cs="Calibri"/>
        </w:rPr>
        <w:t xml:space="preserve"> identified on the list ha</w:t>
      </w:r>
      <w:r w:rsidR="004009CB" w:rsidRPr="003E42D2">
        <w:rPr>
          <w:rFonts w:cs="Calibri"/>
        </w:rPr>
        <w:t>ve commonalities, specifically,</w:t>
      </w:r>
      <w:r w:rsidRPr="003E42D2">
        <w:rPr>
          <w:rFonts w:cs="Calibri"/>
        </w:rPr>
        <w:t xml:space="preserve"> they are all relatively large coal-fired steam units with average ozone season NOx emission rates that do not reflect the NOx reduction capabilities of modern, layered combustion controls or post-</w:t>
      </w:r>
      <w:r w:rsidRPr="003E42D2">
        <w:rPr>
          <w:rFonts w:cs="Calibri"/>
        </w:rPr>
        <w:lastRenderedPageBreak/>
        <w:t xml:space="preserve">combustion NOx controls. </w:t>
      </w:r>
      <w:r w:rsidR="003516F2">
        <w:rPr>
          <w:rFonts w:cs="Calibri"/>
        </w:rPr>
        <w:t>While t</w:t>
      </w:r>
      <w:r w:rsidR="0084301E">
        <w:rPr>
          <w:rFonts w:cs="Calibri"/>
        </w:rPr>
        <w:t xml:space="preserve">he EGUs </w:t>
      </w:r>
      <w:r w:rsidR="0084301E" w:rsidRPr="003E42D2">
        <w:rPr>
          <w:rFonts w:cs="Calibri"/>
        </w:rPr>
        <w:t>identified</w:t>
      </w:r>
      <w:r w:rsidRPr="003E42D2">
        <w:rPr>
          <w:rFonts w:cs="Calibri"/>
        </w:rPr>
        <w:t xml:space="preserve"> in this section </w:t>
      </w:r>
      <w:r w:rsidR="0084301E">
        <w:rPr>
          <w:rFonts w:cs="Calibri"/>
        </w:rPr>
        <w:t>are</w:t>
      </w:r>
      <w:r w:rsidRPr="003E42D2">
        <w:rPr>
          <w:rFonts w:cs="Calibri"/>
        </w:rPr>
        <w:t xml:space="preserve"> located in the OTC modeling domain, </w:t>
      </w:r>
      <w:r w:rsidR="00C7301D" w:rsidRPr="003E42D2">
        <w:rPr>
          <w:rFonts w:cs="Calibri"/>
        </w:rPr>
        <w:t>it is indicative of the</w:t>
      </w:r>
      <w:r w:rsidRPr="003E42D2">
        <w:rPr>
          <w:rFonts w:cs="Calibri"/>
        </w:rPr>
        <w:t xml:space="preserve"> largest ozone season NOx emitting</w:t>
      </w:r>
      <w:r w:rsidR="00922FA6" w:rsidRPr="003E42D2">
        <w:rPr>
          <w:rFonts w:cs="Calibri"/>
        </w:rPr>
        <w:t xml:space="preserve"> EGUs on a national fleet basis.</w:t>
      </w:r>
    </w:p>
    <w:p w:rsidR="00922FA6" w:rsidRDefault="00922FA6" w:rsidP="00132E6C">
      <w:pPr>
        <w:rPr>
          <w:rFonts w:cs="Calibri"/>
          <w:u w:val="single"/>
        </w:rPr>
      </w:pPr>
    </w:p>
    <w:p w:rsidR="00922FA6" w:rsidRPr="0084301E" w:rsidRDefault="00922FA6" w:rsidP="00132E6C">
      <w:pPr>
        <w:rPr>
          <w:rFonts w:cs="Arial"/>
        </w:rPr>
      </w:pPr>
      <w:r w:rsidRPr="0084301E">
        <w:t xml:space="preserve">The </w:t>
      </w:r>
      <w:r w:rsidR="00600D8C">
        <w:rPr>
          <w:rFonts w:cs="Arial"/>
        </w:rPr>
        <w:t xml:space="preserve">lists </w:t>
      </w:r>
      <w:r w:rsidR="008C4135" w:rsidRPr="0084301E">
        <w:rPr>
          <w:rFonts w:cs="Arial"/>
        </w:rPr>
        <w:t>demonstrate</w:t>
      </w:r>
      <w:r w:rsidRPr="0084301E">
        <w:rPr>
          <w:rFonts w:cs="Arial"/>
        </w:rPr>
        <w:t xml:space="preserve"> that some EGUs equipped with NOx emissions controls are </w:t>
      </w:r>
      <w:r w:rsidR="00901978" w:rsidRPr="0084301E">
        <w:rPr>
          <w:rFonts w:cs="Arial"/>
        </w:rPr>
        <w:t>emitting NOx at rates</w:t>
      </w:r>
      <w:r w:rsidR="00C7301D" w:rsidRPr="0084301E">
        <w:rPr>
          <w:rFonts w:cs="Arial"/>
        </w:rPr>
        <w:t xml:space="preserve"> and amounts </w:t>
      </w:r>
      <w:r w:rsidR="00901978" w:rsidRPr="0084301E">
        <w:rPr>
          <w:rFonts w:cs="Arial"/>
        </w:rPr>
        <w:t xml:space="preserve">equal </w:t>
      </w:r>
      <w:r w:rsidRPr="0084301E">
        <w:rPr>
          <w:rFonts w:cs="Arial"/>
        </w:rPr>
        <w:t xml:space="preserve">to the </w:t>
      </w:r>
      <w:r w:rsidR="00901978" w:rsidRPr="0084301E">
        <w:rPr>
          <w:rFonts w:cs="Arial"/>
        </w:rPr>
        <w:t>pre-</w:t>
      </w:r>
      <w:r w:rsidRPr="0084301E">
        <w:rPr>
          <w:rFonts w:cs="Arial"/>
        </w:rPr>
        <w:t xml:space="preserve">installation of post-combustion NOx controls. In 2012 approximately 35% of the coal-fired units equipped with post combustion NOx controls had average ozone season NOx emission rates at least 50% higher </w:t>
      </w:r>
      <w:r w:rsidR="00901978" w:rsidRPr="0084301E">
        <w:rPr>
          <w:rFonts w:cs="Arial"/>
        </w:rPr>
        <w:t>than</w:t>
      </w:r>
      <w:r w:rsidRPr="0084301E">
        <w:rPr>
          <w:rFonts w:cs="Arial"/>
        </w:rPr>
        <w:t xml:space="preserve"> its lowest ozone season NOx e</w:t>
      </w:r>
      <w:r w:rsidR="00901978" w:rsidRPr="0084301E">
        <w:rPr>
          <w:rFonts w:cs="Arial"/>
        </w:rPr>
        <w:t>mission rate between 2003 and</w:t>
      </w:r>
      <w:r w:rsidRPr="0084301E">
        <w:rPr>
          <w:rFonts w:cs="Arial"/>
        </w:rPr>
        <w:t xml:space="preserve"> 2</w:t>
      </w:r>
      <w:r w:rsidR="00901978" w:rsidRPr="0084301E">
        <w:rPr>
          <w:rFonts w:cs="Arial"/>
        </w:rPr>
        <w:t>012. This data suggests that some EGU’s are not operating</w:t>
      </w:r>
      <w:r w:rsidR="00FF3067">
        <w:rPr>
          <w:rFonts w:cs="Arial"/>
        </w:rPr>
        <w:t>,</w:t>
      </w:r>
      <w:r w:rsidR="00C7301D" w:rsidRPr="0084301E">
        <w:rPr>
          <w:rFonts w:cs="Arial"/>
        </w:rPr>
        <w:t xml:space="preserve"> or limiting the operation of their controls.</w:t>
      </w:r>
      <w:r w:rsidR="00901978" w:rsidRPr="0084301E">
        <w:rPr>
          <w:rFonts w:cs="Arial"/>
        </w:rPr>
        <w:t xml:space="preserve"> </w:t>
      </w:r>
    </w:p>
    <w:p w:rsidR="00922FA6" w:rsidRDefault="00922FA6" w:rsidP="00132E6C">
      <w:pPr>
        <w:rPr>
          <w:rFonts w:cs="Calibri"/>
          <w:u w:val="single"/>
        </w:rPr>
      </w:pPr>
    </w:p>
    <w:p w:rsidR="00072C8C" w:rsidRDefault="00A75255" w:rsidP="00A75255">
      <w:pPr>
        <w:numPr>
          <w:ilvl w:val="0"/>
          <w:numId w:val="32"/>
        </w:numPr>
        <w:ind w:left="360" w:hanging="360"/>
        <w:rPr>
          <w:rFonts w:cs="Arial"/>
          <w:b/>
          <w:u w:val="single"/>
        </w:rPr>
      </w:pPr>
      <w:r>
        <w:rPr>
          <w:rFonts w:cs="Arial"/>
          <w:b/>
          <w:u w:val="single"/>
        </w:rPr>
        <w:t xml:space="preserve"> </w:t>
      </w:r>
      <w:r w:rsidR="00072C8C" w:rsidRPr="00DE63C0">
        <w:rPr>
          <w:rFonts w:cs="Arial"/>
          <w:b/>
          <w:u w:val="single"/>
        </w:rPr>
        <w:t>Analyses and Results</w:t>
      </w:r>
    </w:p>
    <w:p w:rsidR="00910927" w:rsidRDefault="00910927" w:rsidP="00910927">
      <w:pPr>
        <w:ind w:left="360"/>
        <w:rPr>
          <w:rFonts w:cs="Arial"/>
          <w:b/>
          <w:u w:val="single"/>
        </w:rPr>
      </w:pPr>
    </w:p>
    <w:p w:rsidR="00C538CE" w:rsidRPr="00600D8C" w:rsidRDefault="00C41467" w:rsidP="00132E6C">
      <w:pPr>
        <w:numPr>
          <w:ilvl w:val="0"/>
          <w:numId w:val="33"/>
        </w:numPr>
        <w:rPr>
          <w:rFonts w:cs="Arial"/>
          <w:b/>
          <w:u w:val="single"/>
        </w:rPr>
      </w:pPr>
      <w:r w:rsidRPr="00910927">
        <w:rPr>
          <w:rFonts w:cs="Calibri"/>
          <w:b/>
          <w:u w:val="single"/>
        </w:rPr>
        <w:t xml:space="preserve">Analysis </w:t>
      </w:r>
      <w:r w:rsidR="00D846ED" w:rsidRPr="00910927">
        <w:rPr>
          <w:rFonts w:cs="Calibri"/>
          <w:b/>
          <w:u w:val="single"/>
        </w:rPr>
        <w:t>1:</w:t>
      </w:r>
      <w:r w:rsidR="003C03BD" w:rsidRPr="004C6A60">
        <w:rPr>
          <w:rFonts w:cs="Calibri"/>
          <w:b/>
          <w:u w:val="single"/>
        </w:rPr>
        <w:t xml:space="preserve"> </w:t>
      </w:r>
      <w:r w:rsidR="002D0D2F" w:rsidRPr="004C6A60">
        <w:rPr>
          <w:rFonts w:cs="Calibri"/>
          <w:b/>
          <w:u w:val="single"/>
        </w:rPr>
        <w:t xml:space="preserve">Ozone Season </w:t>
      </w:r>
      <w:r w:rsidR="00EC788D" w:rsidRPr="004C6A60">
        <w:rPr>
          <w:rFonts w:cs="Calibri"/>
          <w:b/>
          <w:u w:val="single"/>
        </w:rPr>
        <w:t>NOx Emi</w:t>
      </w:r>
      <w:r w:rsidR="00553D37" w:rsidRPr="00600D8C">
        <w:rPr>
          <w:rFonts w:cs="Calibri"/>
          <w:b/>
          <w:u w:val="single"/>
        </w:rPr>
        <w:t>s</w:t>
      </w:r>
      <w:r w:rsidR="003C03BD" w:rsidRPr="00600D8C">
        <w:rPr>
          <w:rFonts w:cs="Calibri"/>
          <w:b/>
          <w:u w:val="single"/>
        </w:rPr>
        <w:t>sion Controls and Unit Retirements</w:t>
      </w:r>
    </w:p>
    <w:p w:rsidR="00C538CE" w:rsidRDefault="00C538CE" w:rsidP="00870719">
      <w:pPr>
        <w:autoSpaceDE w:val="0"/>
        <w:autoSpaceDN w:val="0"/>
        <w:adjustRightInd w:val="0"/>
        <w:rPr>
          <w:rFonts w:cs="Calibri"/>
        </w:rPr>
      </w:pPr>
    </w:p>
    <w:p w:rsidR="003C03BD" w:rsidRPr="003C03BD" w:rsidRDefault="00687336" w:rsidP="00870719">
      <w:pPr>
        <w:autoSpaceDE w:val="0"/>
        <w:autoSpaceDN w:val="0"/>
        <w:adjustRightInd w:val="0"/>
        <w:rPr>
          <w:rFonts w:cs="Calibri"/>
          <w:u w:val="single"/>
        </w:rPr>
      </w:pPr>
      <w:r>
        <w:rPr>
          <w:rFonts w:cs="Calibri"/>
          <w:u w:val="single"/>
        </w:rPr>
        <w:t>Analysis</w:t>
      </w:r>
    </w:p>
    <w:p w:rsidR="003C03BD" w:rsidRDefault="003C03BD" w:rsidP="00870719">
      <w:pPr>
        <w:autoSpaceDE w:val="0"/>
        <w:autoSpaceDN w:val="0"/>
        <w:adjustRightInd w:val="0"/>
        <w:rPr>
          <w:rFonts w:cs="Calibri"/>
        </w:rPr>
      </w:pPr>
    </w:p>
    <w:p w:rsidR="00701271" w:rsidRPr="003A35C4" w:rsidRDefault="00346A6C" w:rsidP="00870719">
      <w:pPr>
        <w:autoSpaceDE w:val="0"/>
        <w:autoSpaceDN w:val="0"/>
        <w:adjustRightInd w:val="0"/>
        <w:rPr>
          <w:rFonts w:cs="Calibri"/>
        </w:rPr>
      </w:pPr>
      <w:r w:rsidRPr="003A35C4">
        <w:rPr>
          <w:rFonts w:cs="Calibri"/>
        </w:rPr>
        <w:t>Data</w:t>
      </w:r>
      <w:r w:rsidR="00C538CE" w:rsidRPr="003A35C4">
        <w:rPr>
          <w:rFonts w:cs="Calibri"/>
        </w:rPr>
        <w:t xml:space="preserve"> from the </w:t>
      </w:r>
      <w:r w:rsidRPr="003A35C4">
        <w:rPr>
          <w:rFonts w:cs="Calibri"/>
        </w:rPr>
        <w:t xml:space="preserve">EPA’s </w:t>
      </w:r>
      <w:r w:rsidR="00485EED" w:rsidRPr="003A35C4">
        <w:rPr>
          <w:rFonts w:cs="Calibri"/>
        </w:rPr>
        <w:t xml:space="preserve">CAMD </w:t>
      </w:r>
      <w:r w:rsidR="007B5CEC">
        <w:rPr>
          <w:rFonts w:cs="Calibri"/>
        </w:rPr>
        <w:t>Air Markets Program Data (</w:t>
      </w:r>
      <w:r w:rsidR="00995E37" w:rsidRPr="003A35C4">
        <w:rPr>
          <w:rFonts w:cs="Calibri"/>
        </w:rPr>
        <w:t>AMPD</w:t>
      </w:r>
      <w:r w:rsidR="007B5CEC">
        <w:rPr>
          <w:rFonts w:cs="Calibri"/>
        </w:rPr>
        <w:t>)</w:t>
      </w:r>
      <w:r w:rsidRPr="003A35C4">
        <w:rPr>
          <w:rFonts w:cs="Calibri"/>
        </w:rPr>
        <w:t xml:space="preserve"> database (i.e.,</w:t>
      </w:r>
      <w:r w:rsidR="00995E37" w:rsidRPr="003A35C4">
        <w:rPr>
          <w:rFonts w:cs="Calibri"/>
        </w:rPr>
        <w:t xml:space="preserve"> </w:t>
      </w:r>
      <w:r w:rsidR="009D2C4C" w:rsidRPr="003A35C4">
        <w:rPr>
          <w:rFonts w:cs="Calibri"/>
        </w:rPr>
        <w:t>ARP</w:t>
      </w:r>
      <w:r w:rsidR="00870719" w:rsidRPr="003A35C4">
        <w:rPr>
          <w:rFonts w:cs="Calibri"/>
        </w:rPr>
        <w:t xml:space="preserve">, </w:t>
      </w:r>
      <w:r w:rsidR="009C564B" w:rsidRPr="003A35C4">
        <w:rPr>
          <w:rFonts w:cs="Calibri"/>
        </w:rPr>
        <w:t>CAIR</w:t>
      </w:r>
      <w:r w:rsidR="009C564B">
        <w:rPr>
          <w:rFonts w:cs="Calibri"/>
        </w:rPr>
        <w:t>,</w:t>
      </w:r>
      <w:r w:rsidR="0044230F">
        <w:rPr>
          <w:rFonts w:cs="Calibri"/>
        </w:rPr>
        <w:t xml:space="preserve"> </w:t>
      </w:r>
      <w:r w:rsidR="00870719" w:rsidRPr="003A35C4">
        <w:rPr>
          <w:rFonts w:cs="Calibri"/>
        </w:rPr>
        <w:t>and CSAPR program</w:t>
      </w:r>
      <w:r w:rsidRPr="003A35C4">
        <w:rPr>
          <w:rFonts w:cs="Calibri"/>
        </w:rPr>
        <w:t xml:space="preserve"> data)</w:t>
      </w:r>
      <w:r w:rsidR="00EC74A1" w:rsidRPr="003A35C4">
        <w:rPr>
          <w:rFonts w:cs="Calibri"/>
        </w:rPr>
        <w:t xml:space="preserve"> and information from </w:t>
      </w:r>
      <w:r w:rsidR="00870719" w:rsidRPr="003A35C4">
        <w:rPr>
          <w:rFonts w:cs="Calibri"/>
        </w:rPr>
        <w:t>EIA</w:t>
      </w:r>
      <w:r w:rsidR="001633A8" w:rsidRPr="003A35C4">
        <w:rPr>
          <w:rFonts w:cs="Calibri"/>
        </w:rPr>
        <w:t xml:space="preserve"> </w:t>
      </w:r>
      <w:r w:rsidR="007B5CEC">
        <w:rPr>
          <w:rFonts w:cs="Calibri"/>
        </w:rPr>
        <w:t xml:space="preserve">were </w:t>
      </w:r>
      <w:r w:rsidR="001633A8" w:rsidRPr="003A35C4">
        <w:rPr>
          <w:rFonts w:cs="Calibri"/>
        </w:rPr>
        <w:t>used</w:t>
      </w:r>
      <w:r w:rsidR="00870719" w:rsidRPr="003A35C4">
        <w:rPr>
          <w:rFonts w:cs="Calibri"/>
        </w:rPr>
        <w:t xml:space="preserve"> to examine</w:t>
      </w:r>
      <w:r w:rsidR="00EC74A1" w:rsidRPr="003A35C4">
        <w:rPr>
          <w:rFonts w:cs="Calibri"/>
        </w:rPr>
        <w:t xml:space="preserve"> reasonably cost</w:t>
      </w:r>
      <w:r w:rsidR="00EC74A1" w:rsidRPr="003A35C4">
        <w:rPr>
          <w:rFonts w:ascii="Calibri" w:hAnsi="Calibri" w:cs="Calibri"/>
        </w:rPr>
        <w:t>‐</w:t>
      </w:r>
      <w:r w:rsidR="00EC74A1" w:rsidRPr="003A35C4">
        <w:rPr>
          <w:rFonts w:cs="Calibri"/>
        </w:rPr>
        <w:t>effective post</w:t>
      </w:r>
      <w:r w:rsidR="00870719" w:rsidRPr="003A35C4">
        <w:rPr>
          <w:rFonts w:cs="Calibri"/>
        </w:rPr>
        <w:t xml:space="preserve"> </w:t>
      </w:r>
      <w:r w:rsidR="00EC74A1" w:rsidRPr="003A35C4">
        <w:rPr>
          <w:rFonts w:cs="Calibri"/>
        </w:rPr>
        <w:t>combustion</w:t>
      </w:r>
      <w:r w:rsidR="00870719" w:rsidRPr="003A35C4">
        <w:rPr>
          <w:rFonts w:cs="Calibri"/>
        </w:rPr>
        <w:t xml:space="preserve"> </w:t>
      </w:r>
      <w:r w:rsidR="00EC74A1" w:rsidRPr="003A35C4">
        <w:rPr>
          <w:rFonts w:cs="Calibri"/>
        </w:rPr>
        <w:t xml:space="preserve">EGU control technologies and </w:t>
      </w:r>
      <w:r w:rsidR="00EF12BC" w:rsidRPr="003A35C4">
        <w:rPr>
          <w:rFonts w:cs="Calibri"/>
        </w:rPr>
        <w:t xml:space="preserve">to </w:t>
      </w:r>
      <w:r w:rsidR="00EC74A1" w:rsidRPr="003A35C4">
        <w:rPr>
          <w:rFonts w:cs="Calibri"/>
        </w:rPr>
        <w:t>determine fleet</w:t>
      </w:r>
      <w:r w:rsidR="00EC74A1" w:rsidRPr="003A35C4">
        <w:rPr>
          <w:rFonts w:ascii="Calibri" w:hAnsi="Calibri" w:cs="Calibri"/>
        </w:rPr>
        <w:t>‐</w:t>
      </w:r>
      <w:r w:rsidRPr="003A35C4">
        <w:rPr>
          <w:rFonts w:cs="Calibri"/>
        </w:rPr>
        <w:t>wide average NOx</w:t>
      </w:r>
      <w:r w:rsidR="00EC74A1" w:rsidRPr="003A35C4">
        <w:rPr>
          <w:rFonts w:cs="Calibri"/>
        </w:rPr>
        <w:t xml:space="preserve"> emission rates </w:t>
      </w:r>
      <w:r w:rsidR="00114C47" w:rsidRPr="003A35C4">
        <w:rPr>
          <w:rFonts w:cs="Calibri"/>
        </w:rPr>
        <w:t>for fossil</w:t>
      </w:r>
      <w:r w:rsidR="00EC74A1" w:rsidRPr="003A35C4">
        <w:rPr>
          <w:rFonts w:cs="Calibri"/>
        </w:rPr>
        <w:t xml:space="preserve"> fuel</w:t>
      </w:r>
      <w:r w:rsidR="00EC74A1" w:rsidRPr="003A35C4">
        <w:rPr>
          <w:rFonts w:ascii="Calibri" w:hAnsi="Calibri" w:cs="Calibri"/>
        </w:rPr>
        <w:t>‐</w:t>
      </w:r>
      <w:r w:rsidR="00EC74A1" w:rsidRPr="003A35C4">
        <w:rPr>
          <w:rFonts w:cs="Calibri"/>
        </w:rPr>
        <w:t>f</w:t>
      </w:r>
      <w:r w:rsidR="00870719" w:rsidRPr="003A35C4">
        <w:rPr>
          <w:rFonts w:cs="Calibri"/>
        </w:rPr>
        <w:t xml:space="preserve">ired </w:t>
      </w:r>
      <w:r w:rsidR="00687336">
        <w:rPr>
          <w:rFonts w:cs="Calibri"/>
        </w:rPr>
        <w:t>EGUs</w:t>
      </w:r>
      <w:r w:rsidR="00EC74A1" w:rsidRPr="003A35C4">
        <w:rPr>
          <w:rFonts w:cs="Calibri"/>
        </w:rPr>
        <w:t>.</w:t>
      </w:r>
    </w:p>
    <w:p w:rsidR="00701271" w:rsidRPr="003A35C4" w:rsidRDefault="00701271" w:rsidP="00870719">
      <w:pPr>
        <w:autoSpaceDE w:val="0"/>
        <w:autoSpaceDN w:val="0"/>
        <w:adjustRightInd w:val="0"/>
        <w:rPr>
          <w:rFonts w:cs="Calibri"/>
        </w:rPr>
      </w:pPr>
    </w:p>
    <w:p w:rsidR="00695FC6" w:rsidRPr="00201E3C" w:rsidRDefault="007B3B79" w:rsidP="00201E3C">
      <w:pPr>
        <w:autoSpaceDE w:val="0"/>
        <w:autoSpaceDN w:val="0"/>
        <w:adjustRightInd w:val="0"/>
        <w:rPr>
          <w:rFonts w:ascii="TimesNewRomanPSMT" w:hAnsi="TimesNewRomanPSMT" w:cs="TimesNewRomanPSMT"/>
          <w:color w:val="2F4DA9"/>
          <w:sz w:val="19"/>
          <w:szCs w:val="19"/>
        </w:rPr>
      </w:pPr>
      <w:r w:rsidRPr="00712702">
        <w:t xml:space="preserve">EGU </w:t>
      </w:r>
      <w:r w:rsidR="00792D46" w:rsidRPr="00712702">
        <w:t>data w</w:t>
      </w:r>
      <w:r w:rsidR="006B6BE8" w:rsidRPr="00712702">
        <w:t>as</w:t>
      </w:r>
      <w:r w:rsidR="00792D46" w:rsidRPr="00712702">
        <w:t xml:space="preserve"> used to identify existing controls</w:t>
      </w:r>
      <w:r w:rsidR="00201E3C" w:rsidRPr="00712702">
        <w:t xml:space="preserve"> and </w:t>
      </w:r>
      <w:r w:rsidR="00BD7C47">
        <w:t xml:space="preserve">to </w:t>
      </w:r>
      <w:r w:rsidR="00792D46" w:rsidRPr="00712702">
        <w:t xml:space="preserve">determine average </w:t>
      </w:r>
      <w:r w:rsidR="00201E3C" w:rsidRPr="00712702">
        <w:t xml:space="preserve">2011 actual </w:t>
      </w:r>
      <w:r w:rsidR="00792D46" w:rsidRPr="00712702">
        <w:t>ozone season NOx emission rates</w:t>
      </w:r>
      <w:r w:rsidR="00201E3C" w:rsidRPr="00712702">
        <w:t>.</w:t>
      </w:r>
      <w:r w:rsidR="00792D46" w:rsidRPr="00712702">
        <w:t xml:space="preserve"> </w:t>
      </w:r>
      <w:r w:rsidR="00201E3C" w:rsidRPr="00712702">
        <w:t xml:space="preserve"> By applying an enhanced EGU control strategy, a revised 2011</w:t>
      </w:r>
      <w:r w:rsidR="00114C47" w:rsidRPr="00712702">
        <w:t xml:space="preserve"> </w:t>
      </w:r>
      <w:r w:rsidR="00201E3C" w:rsidRPr="00712702">
        <w:t xml:space="preserve">ozone season NOx mass emissions </w:t>
      </w:r>
      <w:r w:rsidR="002C268B" w:rsidRPr="00712702">
        <w:t>were</w:t>
      </w:r>
      <w:r w:rsidR="00201E3C" w:rsidRPr="00712702">
        <w:t xml:space="preserve"> calculated. </w:t>
      </w:r>
      <w:r w:rsidR="00792D46" w:rsidRPr="00712702">
        <w:t xml:space="preserve"> </w:t>
      </w:r>
      <w:r w:rsidR="00D846ED" w:rsidRPr="00712702">
        <w:t>T</w:t>
      </w:r>
      <w:r w:rsidR="00701271" w:rsidRPr="00712702">
        <w:t>he calculation process include</w:t>
      </w:r>
      <w:r w:rsidR="006B6BE8" w:rsidRPr="00712702">
        <w:t>d</w:t>
      </w:r>
      <w:r w:rsidR="00701271" w:rsidRPr="00712702">
        <w:t xml:space="preserve"> the following</w:t>
      </w:r>
      <w:r w:rsidR="00701271" w:rsidRPr="003A35C4">
        <w:t>:</w:t>
      </w:r>
    </w:p>
    <w:p w:rsidR="00231F9F" w:rsidRPr="00D846ED" w:rsidRDefault="00231F9F" w:rsidP="00701271"/>
    <w:p w:rsidR="00EC788D" w:rsidRPr="00D846ED" w:rsidRDefault="00EC788D" w:rsidP="00701271">
      <w:r w:rsidRPr="00D846ED">
        <w:t>General:</w:t>
      </w:r>
    </w:p>
    <w:p w:rsidR="00792D46" w:rsidRDefault="00792D46" w:rsidP="00792D46"/>
    <w:p w:rsidR="00695FC6" w:rsidRDefault="00D6623D" w:rsidP="00701271">
      <w:pPr>
        <w:numPr>
          <w:ilvl w:val="0"/>
          <w:numId w:val="9"/>
        </w:numPr>
      </w:pPr>
      <w:r>
        <w:t>The year 2011 was selected as the base year for determining the baseline ozone season EGU fleet, EGU ozone season NOx mass emissions</w:t>
      </w:r>
      <w:r w:rsidR="00687336">
        <w:t>,</w:t>
      </w:r>
      <w:r>
        <w:t xml:space="preserve"> and EGU ozone season heat input.</w:t>
      </w:r>
    </w:p>
    <w:p w:rsidR="00205859" w:rsidRDefault="00205859" w:rsidP="00205859">
      <w:pPr>
        <w:ind w:left="360"/>
      </w:pPr>
    </w:p>
    <w:p w:rsidR="00205859" w:rsidRPr="003A35C4" w:rsidRDefault="00205859" w:rsidP="00701271">
      <w:pPr>
        <w:numPr>
          <w:ilvl w:val="0"/>
          <w:numId w:val="9"/>
        </w:numPr>
      </w:pPr>
      <w:r>
        <w:t>The fleet of EGUs was identified in the CAMD AMPD database as electric utility or small power producers</w:t>
      </w:r>
      <w:r w:rsidR="00971B45">
        <w:t xml:space="preserve"> with</w:t>
      </w:r>
      <w:r w:rsidR="00210DA7">
        <w:t xml:space="preserve"> nameplate capacity ≥ 25 MW</w:t>
      </w:r>
      <w:r w:rsidR="00DC56E3">
        <w:t>,</w:t>
      </w:r>
      <w:r>
        <w:t xml:space="preserve"> exclud</w:t>
      </w:r>
      <w:r w:rsidR="00DC56E3">
        <w:t>ing</w:t>
      </w:r>
      <w:r>
        <w:t xml:space="preserve"> units identified as co-generation or any industrial, commercial, or process unit.</w:t>
      </w:r>
    </w:p>
    <w:p w:rsidR="00C538CE" w:rsidRPr="003A35C4" w:rsidRDefault="00C538CE" w:rsidP="00C538CE">
      <w:pPr>
        <w:ind w:left="360"/>
      </w:pPr>
    </w:p>
    <w:p w:rsidR="00695FC6" w:rsidRDefault="00701271" w:rsidP="00701271">
      <w:pPr>
        <w:numPr>
          <w:ilvl w:val="0"/>
          <w:numId w:val="9"/>
        </w:numPr>
      </w:pPr>
      <w:r w:rsidRPr="003A35C4">
        <w:t>For</w:t>
      </w:r>
      <w:r w:rsidR="00375760" w:rsidRPr="00DC2F68">
        <w:t xml:space="preserve"> </w:t>
      </w:r>
      <w:r w:rsidRPr="003A35C4">
        <w:t xml:space="preserve">existing </w:t>
      </w:r>
      <w:r w:rsidR="00A90C0E">
        <w:t xml:space="preserve">EGUs </w:t>
      </w:r>
      <w:r w:rsidRPr="003A35C4">
        <w:t>with post-combustion NOx controls,</w:t>
      </w:r>
      <w:r w:rsidR="00375760" w:rsidRPr="00DC2F68">
        <w:t xml:space="preserve"> each </w:t>
      </w:r>
      <w:r w:rsidR="00A90C0E">
        <w:t>EGU</w:t>
      </w:r>
      <w:r w:rsidR="001B65A9">
        <w:t>’</w:t>
      </w:r>
      <w:r w:rsidR="00A90C0E">
        <w:t>s</w:t>
      </w:r>
      <w:r w:rsidRPr="003A35C4">
        <w:t xml:space="preserve"> NOx</w:t>
      </w:r>
      <w:r w:rsidR="0044230F">
        <w:t xml:space="preserve"> emissions rate (lb/MMBTU) </w:t>
      </w:r>
      <w:r w:rsidR="00A90C0E">
        <w:t xml:space="preserve">was </w:t>
      </w:r>
      <w:r w:rsidR="00341CFC">
        <w:t>obtained</w:t>
      </w:r>
      <w:r w:rsidR="00341CFC" w:rsidRPr="003A35C4">
        <w:t xml:space="preserve"> </w:t>
      </w:r>
      <w:r w:rsidRPr="003A35C4">
        <w:t xml:space="preserve">from </w:t>
      </w:r>
      <w:r w:rsidR="00695FC6" w:rsidRPr="003A35C4">
        <w:t xml:space="preserve">CAMD </w:t>
      </w:r>
      <w:r w:rsidRPr="003A35C4">
        <w:t>AMPD</w:t>
      </w:r>
      <w:r w:rsidR="00205859">
        <w:t xml:space="preserve"> data </w:t>
      </w:r>
      <w:r w:rsidR="00C13B4A">
        <w:t>and</w:t>
      </w:r>
      <w:r w:rsidR="00205859">
        <w:t xml:space="preserve"> the </w:t>
      </w:r>
      <w:r w:rsidR="007D2A63">
        <w:t xml:space="preserve">lowest </w:t>
      </w:r>
      <w:r w:rsidRPr="003A35C4">
        <w:t>ozone season average</w:t>
      </w:r>
      <w:r w:rsidR="0044230F">
        <w:t xml:space="preserve"> NOx emissions rate between</w:t>
      </w:r>
      <w:r w:rsidRPr="003A35C4">
        <w:t xml:space="preserve"> 2003 and 2012, inclusive</w:t>
      </w:r>
      <w:r w:rsidR="00C13B4A">
        <w:t>, was selected.</w:t>
      </w:r>
      <w:r w:rsidR="00375760">
        <w:t xml:space="preserve"> </w:t>
      </w:r>
      <w:r w:rsidR="00375760" w:rsidRPr="00DC2F68">
        <w:rPr>
          <w:b/>
        </w:rPr>
        <w:t xml:space="preserve"> </w:t>
      </w:r>
      <w:r w:rsidR="00ED40C1" w:rsidRPr="00DC2F68">
        <w:t xml:space="preserve">Each </w:t>
      </w:r>
      <w:r w:rsidR="00A90C0E">
        <w:t>EGU’s</w:t>
      </w:r>
      <w:r w:rsidR="00ED40C1" w:rsidRPr="00DC2F68">
        <w:t xml:space="preserve"> capacity factor</w:t>
      </w:r>
      <w:r w:rsidR="00A90C0E">
        <w:t xml:space="preserve"> was calculated from the CAMD AMPD data</w:t>
      </w:r>
      <w:r w:rsidR="00ED40C1" w:rsidRPr="00DC2F68">
        <w:t>.</w:t>
      </w:r>
    </w:p>
    <w:p w:rsidR="00205859" w:rsidRDefault="00205859" w:rsidP="00205859"/>
    <w:p w:rsidR="00205859" w:rsidRPr="00DC2F68" w:rsidRDefault="00205859" w:rsidP="00701271">
      <w:pPr>
        <w:numPr>
          <w:ilvl w:val="0"/>
          <w:numId w:val="9"/>
        </w:numPr>
      </w:pPr>
      <w:r>
        <w:t>The 2012 ozone season value</w:t>
      </w:r>
      <w:r w:rsidR="00A90C0E">
        <w:t>s</w:t>
      </w:r>
      <w:r>
        <w:t xml:space="preserve"> </w:t>
      </w:r>
      <w:r w:rsidR="00A90C0E">
        <w:t xml:space="preserve">were </w:t>
      </w:r>
      <w:r>
        <w:t xml:space="preserve">included in this analysis as it was the </w:t>
      </w:r>
      <w:r w:rsidR="00F56576">
        <w:t xml:space="preserve">most recent </w:t>
      </w:r>
      <w:r>
        <w:t xml:space="preserve">ozone season average NOx emission rate available </w:t>
      </w:r>
      <w:r w:rsidR="00F56576">
        <w:t xml:space="preserve">and </w:t>
      </w:r>
      <w:r>
        <w:t>to potentially provide credit to an individual EGU for NOx controls and/or NOx emission rate reductions that have already been incorporated on that</w:t>
      </w:r>
      <w:r w:rsidR="006426A4">
        <w:t xml:space="preserve"> </w:t>
      </w:r>
      <w:r w:rsidR="00A90C0E">
        <w:t>EGU</w:t>
      </w:r>
      <w:r>
        <w:t>.</w:t>
      </w:r>
    </w:p>
    <w:p w:rsidR="002C2FE3" w:rsidRPr="003A35C4" w:rsidRDefault="002C2FE3" w:rsidP="002C2FE3"/>
    <w:p w:rsidR="002502EF" w:rsidRDefault="002502EF" w:rsidP="002C2FE3">
      <w:pPr>
        <w:numPr>
          <w:ilvl w:val="0"/>
          <w:numId w:val="9"/>
        </w:numPr>
      </w:pPr>
      <w:r>
        <w:t>For each EGU, esti</w:t>
      </w:r>
      <w:r w:rsidR="00C13B4A">
        <w:t>mated</w:t>
      </w:r>
      <w:r>
        <w:t xml:space="preserve"> ozone season NOx emissions </w:t>
      </w:r>
      <w:r w:rsidR="00D846ED">
        <w:t>we</w:t>
      </w:r>
      <w:r w:rsidR="00341CFC">
        <w:t>re</w:t>
      </w:r>
      <w:r w:rsidR="00D846ED">
        <w:t xml:space="preserve"> </w:t>
      </w:r>
      <w:r>
        <w:t>calculated as the product of the actual 2011 NOx mass emissions and the ratio of the estimated ozone season NOx emissions rate after application of controls and the actual 2011 ozone season average NOx emissions rate as follows:</w:t>
      </w:r>
    </w:p>
    <w:p w:rsidR="00252057" w:rsidRDefault="00CC363F" w:rsidP="00252057">
      <w:pPr>
        <w:pStyle w:val="ListParagraph"/>
      </w:pPr>
      <w:r>
        <w:rPr>
          <w:noProof/>
        </w:rPr>
        <w:pict>
          <v:shapetype id="_x0000_t202" coordsize="21600,21600" o:spt="202" path="m,l,21600r21600,l21600,xe">
            <v:stroke joinstyle="miter"/>
            <v:path gradientshapeok="t" o:connecttype="rect"/>
          </v:shapetype>
          <v:shape id="_x0000_s1026" type="#_x0000_t202" style="position:absolute;left:0;text-align:left;margin-left:8.8pt;margin-top:5.95pt;width:457.1pt;height:55.7pt;z-index:251657728">
            <v:textbox style="mso-next-textbox:#_x0000_s1026">
              <w:txbxContent>
                <w:p w:rsidR="00361606" w:rsidRPr="00252057" w:rsidRDefault="00361606">
                  <w:pPr>
                    <w:rPr>
                      <w:sz w:val="20"/>
                      <w:szCs w:val="20"/>
                    </w:rPr>
                  </w:pPr>
                  <w:r w:rsidRPr="00252057">
                    <w:rPr>
                      <w:sz w:val="20"/>
                      <w:szCs w:val="20"/>
                    </w:rPr>
                    <w:t>Estimated Ozone Season</w:t>
                  </w:r>
                  <w:r>
                    <w:rPr>
                      <w:sz w:val="20"/>
                      <w:szCs w:val="20"/>
                    </w:rPr>
                    <w:t xml:space="preserve"> </w:t>
                  </w:r>
                  <w:r w:rsidRPr="00252057">
                    <w:rPr>
                      <w:sz w:val="20"/>
                      <w:szCs w:val="20"/>
                    </w:rPr>
                    <w:t xml:space="preserve">= </w:t>
                  </w:r>
                </w:p>
                <w:p w:rsidR="00361606" w:rsidRPr="00252057" w:rsidRDefault="00361606">
                  <w:pPr>
                    <w:rPr>
                      <w:sz w:val="20"/>
                      <w:szCs w:val="20"/>
                    </w:rPr>
                  </w:pPr>
                </w:p>
                <w:p w:rsidR="00361606" w:rsidRPr="00252057" w:rsidRDefault="00361606">
                  <w:pPr>
                    <w:rPr>
                      <w:sz w:val="20"/>
                      <w:szCs w:val="20"/>
                    </w:rPr>
                  </w:pPr>
                  <w:r w:rsidRPr="00252057">
                    <w:rPr>
                      <w:sz w:val="20"/>
                      <w:szCs w:val="20"/>
                    </w:rPr>
                    <w:t xml:space="preserve">(Actual 2011 OS NOx Mass Emission) *(Estimated NOx Emission Rate </w:t>
                  </w:r>
                  <w:proofErr w:type="gramStart"/>
                  <w:r w:rsidRPr="00252057">
                    <w:rPr>
                      <w:sz w:val="20"/>
                      <w:szCs w:val="20"/>
                    </w:rPr>
                    <w:t>After</w:t>
                  </w:r>
                  <w:proofErr w:type="gramEnd"/>
                  <w:r w:rsidRPr="00252057">
                    <w:rPr>
                      <w:sz w:val="20"/>
                      <w:szCs w:val="20"/>
                    </w:rPr>
                    <w:t xml:space="preserve"> Control/Actual 2011 OS NOx Emission Rate)</w:t>
                  </w:r>
                </w:p>
              </w:txbxContent>
            </v:textbox>
          </v:shape>
        </w:pict>
      </w:r>
    </w:p>
    <w:p w:rsidR="00252057" w:rsidRDefault="00252057" w:rsidP="00252057"/>
    <w:p w:rsidR="00252057" w:rsidRDefault="00252057" w:rsidP="00252057"/>
    <w:p w:rsidR="00D846ED" w:rsidRDefault="00D846ED" w:rsidP="00D846ED">
      <w:pPr>
        <w:pStyle w:val="ListParagraph"/>
      </w:pPr>
    </w:p>
    <w:p w:rsidR="00C35521" w:rsidRDefault="00C35521" w:rsidP="002D0D2F">
      <w:pPr>
        <w:rPr>
          <w:i/>
          <w:u w:val="single"/>
        </w:rPr>
      </w:pPr>
    </w:p>
    <w:p w:rsidR="002D0D2F" w:rsidRDefault="002D0D2F" w:rsidP="004C6A60">
      <w:pPr>
        <w:numPr>
          <w:ilvl w:val="0"/>
          <w:numId w:val="34"/>
        </w:numPr>
        <w:rPr>
          <w:u w:val="single"/>
        </w:rPr>
      </w:pPr>
      <w:r w:rsidRPr="00252057">
        <w:rPr>
          <w:i/>
          <w:u w:val="single"/>
        </w:rPr>
        <w:t>Coal-Fueled EGUs</w:t>
      </w:r>
      <w:r w:rsidRPr="00252057">
        <w:rPr>
          <w:u w:val="single"/>
        </w:rPr>
        <w:t>:</w:t>
      </w:r>
    </w:p>
    <w:p w:rsidR="00252057" w:rsidRPr="00252057" w:rsidRDefault="00252057" w:rsidP="002D0D2F">
      <w:pPr>
        <w:rPr>
          <w:u w:val="single"/>
        </w:rPr>
      </w:pPr>
    </w:p>
    <w:p w:rsidR="002D0D2F" w:rsidRDefault="00341CFC" w:rsidP="002D0D2F">
      <w:r>
        <w:t>A</w:t>
      </w:r>
      <w:r w:rsidR="002D0D2F">
        <w:t xml:space="preserve"> coal-fueled EGU </w:t>
      </w:r>
      <w:r w:rsidR="002830E1">
        <w:t xml:space="preserve">was </w:t>
      </w:r>
      <w:r w:rsidR="002D0D2F">
        <w:t>any EGU identified in the CAMD AMPD database that included coal or c</w:t>
      </w:r>
      <w:r w:rsidR="00C43E78">
        <w:t>oa</w:t>
      </w:r>
      <w:r w:rsidR="002D0D2F">
        <w:t>l-refuse as a primary fuel or secondary fuel.</w:t>
      </w:r>
    </w:p>
    <w:p w:rsidR="002D0D2F" w:rsidRDefault="002D0D2F" w:rsidP="002D0D2F"/>
    <w:p w:rsidR="002D0D2F" w:rsidRDefault="00252057" w:rsidP="002D0D2F">
      <w:r>
        <w:t>C</w:t>
      </w:r>
      <w:r w:rsidR="002D0D2F">
        <w:t>oal-fueled EGUs of any size that were identified in the CAMD AMPD as having incorporated</w:t>
      </w:r>
      <w:r>
        <w:t xml:space="preserve"> Selective Catalytic Reduction Technology</w:t>
      </w:r>
      <w:r w:rsidR="002D0D2F">
        <w:t xml:space="preserve"> </w:t>
      </w:r>
      <w:r>
        <w:t>(</w:t>
      </w:r>
      <w:r w:rsidR="002D0D2F">
        <w:t>SCR</w:t>
      </w:r>
      <w:r>
        <w:t>)</w:t>
      </w:r>
      <w:r w:rsidR="002D0D2F">
        <w:t xml:space="preserve">, the estimated ozone season NOx emissions rate was the lowest demonstrated ozone season NOx emissions rate </w:t>
      </w:r>
      <w:r w:rsidR="00F56576">
        <w:t>between the</w:t>
      </w:r>
      <w:r w:rsidR="002D0D2F">
        <w:t xml:space="preserve"> years 2003 </w:t>
      </w:r>
      <w:r w:rsidR="00F56576">
        <w:t xml:space="preserve">and </w:t>
      </w:r>
      <w:r w:rsidR="002D0D2F">
        <w:t>2012.</w:t>
      </w:r>
    </w:p>
    <w:p w:rsidR="00021FA8" w:rsidRDefault="00021FA8" w:rsidP="00021FA8">
      <w:pPr>
        <w:rPr>
          <w:color w:val="000000"/>
        </w:rPr>
      </w:pPr>
    </w:p>
    <w:p w:rsidR="00021FA8" w:rsidRDefault="00021FA8" w:rsidP="00021FA8">
      <w:pPr>
        <w:rPr>
          <w:color w:val="000000"/>
        </w:rPr>
      </w:pPr>
      <w:r w:rsidRPr="00BD251F">
        <w:rPr>
          <w:color w:val="000000"/>
        </w:rPr>
        <w:t xml:space="preserve">If the lowest demonstrated ozone season average NOx emissions rate </w:t>
      </w:r>
      <w:r w:rsidR="00F56576">
        <w:rPr>
          <w:color w:val="000000"/>
        </w:rPr>
        <w:t xml:space="preserve">between the </w:t>
      </w:r>
      <w:r w:rsidR="00F56576" w:rsidRPr="00BD251F">
        <w:rPr>
          <w:color w:val="000000"/>
        </w:rPr>
        <w:t>years</w:t>
      </w:r>
      <w:r w:rsidRPr="00BD251F">
        <w:rPr>
          <w:color w:val="000000"/>
        </w:rPr>
        <w:t xml:space="preserve"> 2003 </w:t>
      </w:r>
      <w:r w:rsidR="00F56576">
        <w:rPr>
          <w:color w:val="000000"/>
        </w:rPr>
        <w:t>and</w:t>
      </w:r>
      <w:r w:rsidRPr="00BD251F">
        <w:rPr>
          <w:color w:val="000000"/>
        </w:rPr>
        <w:t xml:space="preserve"> 2012 was 0.06 lb/MMBTU or less, 0.06 lb/MMBTU was used as the estimated ozone season NOx emissions rate regardless of the NOx controls installation indicated in the AMPD.</w:t>
      </w:r>
    </w:p>
    <w:p w:rsidR="00BD251F" w:rsidRPr="00DC2F68" w:rsidRDefault="00BD251F" w:rsidP="002D0D2F"/>
    <w:p w:rsidR="00BD251F" w:rsidRDefault="00354E54" w:rsidP="008B2FD7">
      <w:pPr>
        <w:rPr>
          <w:color w:val="000000"/>
        </w:rPr>
      </w:pPr>
      <w:r>
        <w:rPr>
          <w:color w:val="000000"/>
        </w:rPr>
        <w:t>C</w:t>
      </w:r>
      <w:r w:rsidR="00BD251F" w:rsidRPr="00BD251F">
        <w:rPr>
          <w:color w:val="000000"/>
        </w:rPr>
        <w:t>oal-fueled EGUs with a heat input rating of 2000 MMBTU/</w:t>
      </w:r>
      <w:r w:rsidR="009C564B" w:rsidRPr="00BD251F">
        <w:rPr>
          <w:color w:val="000000"/>
        </w:rPr>
        <w:t>hr,</w:t>
      </w:r>
      <w:r w:rsidR="009C564B">
        <w:rPr>
          <w:color w:val="000000"/>
        </w:rPr>
        <w:t xml:space="preserve"> </w:t>
      </w:r>
      <w:r w:rsidR="009C564B" w:rsidRPr="00BD251F">
        <w:rPr>
          <w:color w:val="000000"/>
        </w:rPr>
        <w:t>or</w:t>
      </w:r>
      <w:r w:rsidR="00BD251F" w:rsidRPr="00BD251F">
        <w:rPr>
          <w:color w:val="000000"/>
        </w:rPr>
        <w:t xml:space="preserve"> greater:</w:t>
      </w:r>
    </w:p>
    <w:p w:rsidR="00BD251F" w:rsidRPr="00BD251F" w:rsidRDefault="00BD251F" w:rsidP="00BD251F">
      <w:pPr>
        <w:ind w:left="405" w:hanging="360"/>
      </w:pPr>
    </w:p>
    <w:p w:rsidR="002C65D0" w:rsidRDefault="00F56576" w:rsidP="00341CFC">
      <w:pPr>
        <w:ind w:left="990" w:hanging="225"/>
        <w:rPr>
          <w:color w:val="000000"/>
        </w:rPr>
      </w:pPr>
      <w:r>
        <w:rPr>
          <w:color w:val="000000"/>
        </w:rPr>
        <w:t>1)</w:t>
      </w:r>
      <w:r w:rsidR="002C65D0">
        <w:rPr>
          <w:color w:val="000000"/>
        </w:rPr>
        <w:t xml:space="preserve"> </w:t>
      </w:r>
      <w:r w:rsidR="00354E54">
        <w:rPr>
          <w:color w:val="000000"/>
        </w:rPr>
        <w:t>C</w:t>
      </w:r>
      <w:r w:rsidR="009C564B" w:rsidRPr="00BD251F">
        <w:rPr>
          <w:color w:val="000000"/>
        </w:rPr>
        <w:t>oal-fueled EGU</w:t>
      </w:r>
      <w:r w:rsidR="009C564B">
        <w:rPr>
          <w:color w:val="000000"/>
        </w:rPr>
        <w:t>s</w:t>
      </w:r>
      <w:r w:rsidR="009C564B" w:rsidRPr="00BD251F">
        <w:rPr>
          <w:color w:val="000000"/>
        </w:rPr>
        <w:t xml:space="preserve"> identified in the AMPD as incorporating</w:t>
      </w:r>
      <w:r w:rsidR="009C564B">
        <w:rPr>
          <w:color w:val="000000"/>
        </w:rPr>
        <w:t xml:space="preserve"> Selective Non-Catalytic Reduction Technology (</w:t>
      </w:r>
      <w:r w:rsidR="009C564B" w:rsidRPr="00BD251F">
        <w:rPr>
          <w:color w:val="000000"/>
        </w:rPr>
        <w:t>SNCR</w:t>
      </w:r>
      <w:r w:rsidR="009C564B">
        <w:rPr>
          <w:color w:val="000000"/>
        </w:rPr>
        <w:t>)</w:t>
      </w:r>
      <w:r w:rsidR="009C564B" w:rsidRPr="00BD251F">
        <w:rPr>
          <w:color w:val="000000"/>
        </w:rPr>
        <w:t xml:space="preserve"> </w:t>
      </w:r>
      <w:r w:rsidR="00D119BD">
        <w:rPr>
          <w:color w:val="000000"/>
        </w:rPr>
        <w:t xml:space="preserve">with a </w:t>
      </w:r>
      <w:r w:rsidR="00D119BD" w:rsidRPr="00BD251F">
        <w:rPr>
          <w:color w:val="000000"/>
        </w:rPr>
        <w:t>lowest</w:t>
      </w:r>
      <w:r w:rsidR="009C564B" w:rsidRPr="00BD251F">
        <w:rPr>
          <w:color w:val="000000"/>
        </w:rPr>
        <w:t xml:space="preserve"> demonstrated ozone season NOx emissions rate </w:t>
      </w:r>
      <w:r w:rsidR="00D119BD">
        <w:rPr>
          <w:color w:val="000000"/>
        </w:rPr>
        <w:t>between the</w:t>
      </w:r>
      <w:r w:rsidR="009C564B" w:rsidRPr="00BD251F">
        <w:rPr>
          <w:color w:val="000000"/>
        </w:rPr>
        <w:t xml:space="preserve"> years 2003 </w:t>
      </w:r>
      <w:r w:rsidR="00D119BD">
        <w:rPr>
          <w:color w:val="000000"/>
        </w:rPr>
        <w:t>and</w:t>
      </w:r>
      <w:r w:rsidR="009C564B" w:rsidRPr="00BD251F">
        <w:rPr>
          <w:color w:val="000000"/>
        </w:rPr>
        <w:t xml:space="preserve">2012 greater than 0.06 lb/MMBTU, installation of SCR was assumed and the NOx emissions rate was estimated as 50% of the lowest demonstrated ozone season NOx emissions rate </w:t>
      </w:r>
      <w:r>
        <w:rPr>
          <w:color w:val="000000"/>
        </w:rPr>
        <w:t xml:space="preserve">between the </w:t>
      </w:r>
      <w:r w:rsidRPr="00BD251F">
        <w:rPr>
          <w:color w:val="000000"/>
        </w:rPr>
        <w:t>years</w:t>
      </w:r>
      <w:r w:rsidR="009C564B" w:rsidRPr="00BD251F">
        <w:rPr>
          <w:color w:val="000000"/>
        </w:rPr>
        <w:t xml:space="preserve"> 2003 </w:t>
      </w:r>
      <w:r>
        <w:rPr>
          <w:color w:val="000000"/>
        </w:rPr>
        <w:t>and</w:t>
      </w:r>
      <w:r w:rsidRPr="00BD251F">
        <w:rPr>
          <w:color w:val="000000"/>
        </w:rPr>
        <w:t xml:space="preserve"> </w:t>
      </w:r>
      <w:r w:rsidR="009C564B" w:rsidRPr="00BD251F">
        <w:rPr>
          <w:color w:val="000000"/>
        </w:rPr>
        <w:t xml:space="preserve">2012.  </w:t>
      </w:r>
      <w:r w:rsidR="00BD251F" w:rsidRPr="00BD251F">
        <w:rPr>
          <w:color w:val="000000"/>
        </w:rPr>
        <w:t>The floor NOx emissions rate for this estimation was 0.06 lb/MMBTU.</w:t>
      </w:r>
    </w:p>
    <w:p w:rsidR="002C65D0" w:rsidRPr="002C65D0" w:rsidRDefault="002C65D0" w:rsidP="002C65D0">
      <w:pPr>
        <w:rPr>
          <w:color w:val="000000"/>
        </w:rPr>
      </w:pPr>
    </w:p>
    <w:p w:rsidR="00AC1DC4" w:rsidRDefault="002C65D0" w:rsidP="00341CFC">
      <w:pPr>
        <w:ind w:left="990" w:hanging="270"/>
        <w:rPr>
          <w:color w:val="000000"/>
        </w:rPr>
      </w:pPr>
      <w:r>
        <w:rPr>
          <w:color w:val="000000"/>
        </w:rPr>
        <w:t xml:space="preserve">2) </w:t>
      </w:r>
      <w:r w:rsidR="00354E54">
        <w:rPr>
          <w:color w:val="000000"/>
        </w:rPr>
        <w:t>C</w:t>
      </w:r>
      <w:r w:rsidR="00BD251F" w:rsidRPr="00BD251F">
        <w:rPr>
          <w:color w:val="000000"/>
        </w:rPr>
        <w:t>oal-fueled EGU</w:t>
      </w:r>
      <w:r w:rsidR="002D6DDF">
        <w:rPr>
          <w:color w:val="000000"/>
        </w:rPr>
        <w:t>s</w:t>
      </w:r>
      <w:r w:rsidR="00BD251F" w:rsidRPr="00BD251F">
        <w:rPr>
          <w:color w:val="000000"/>
        </w:rPr>
        <w:t xml:space="preserve"> identified in the AMPD </w:t>
      </w:r>
      <w:r w:rsidR="00D62DA9" w:rsidRPr="00BD251F">
        <w:rPr>
          <w:color w:val="000000"/>
        </w:rPr>
        <w:t>as incorporating</w:t>
      </w:r>
      <w:r w:rsidR="00BD251F" w:rsidRPr="00BD251F">
        <w:rPr>
          <w:color w:val="000000"/>
        </w:rPr>
        <w:t xml:space="preserve"> </w:t>
      </w:r>
      <w:r w:rsidR="00B7267F">
        <w:rPr>
          <w:color w:val="000000"/>
        </w:rPr>
        <w:t>n</w:t>
      </w:r>
      <w:r w:rsidR="00BD251F" w:rsidRPr="00BD251F">
        <w:rPr>
          <w:color w:val="000000"/>
        </w:rPr>
        <w:t xml:space="preserve">either SNCR </w:t>
      </w:r>
      <w:r w:rsidR="00D62DA9">
        <w:rPr>
          <w:color w:val="000000"/>
        </w:rPr>
        <w:t>n</w:t>
      </w:r>
      <w:r w:rsidR="00BD251F" w:rsidRPr="00BD251F">
        <w:rPr>
          <w:color w:val="000000"/>
        </w:rPr>
        <w:t>or</w:t>
      </w:r>
      <w:r w:rsidR="00F56576">
        <w:rPr>
          <w:color w:val="000000"/>
        </w:rPr>
        <w:t xml:space="preserve"> </w:t>
      </w:r>
      <w:r w:rsidR="00BD251F" w:rsidRPr="00BD251F">
        <w:rPr>
          <w:color w:val="000000"/>
        </w:rPr>
        <w:t xml:space="preserve">SCR </w:t>
      </w:r>
      <w:r w:rsidR="00B7267F">
        <w:rPr>
          <w:color w:val="000000"/>
        </w:rPr>
        <w:t xml:space="preserve">with a </w:t>
      </w:r>
      <w:r w:rsidR="00BD251F" w:rsidRPr="00BD251F">
        <w:rPr>
          <w:color w:val="000000"/>
        </w:rPr>
        <w:t xml:space="preserve">lowest demonstrated ozone season average NOx emissions rate </w:t>
      </w:r>
      <w:r w:rsidR="00F56576">
        <w:rPr>
          <w:color w:val="000000"/>
        </w:rPr>
        <w:t>between the</w:t>
      </w:r>
      <w:r w:rsidR="00BD251F" w:rsidRPr="00BD251F">
        <w:rPr>
          <w:color w:val="000000"/>
        </w:rPr>
        <w:t xml:space="preserve"> years 2003 </w:t>
      </w:r>
      <w:r w:rsidR="00F56576">
        <w:rPr>
          <w:color w:val="000000"/>
        </w:rPr>
        <w:t>and</w:t>
      </w:r>
      <w:r w:rsidR="00F56576" w:rsidRPr="00BD251F">
        <w:rPr>
          <w:color w:val="000000"/>
        </w:rPr>
        <w:t xml:space="preserve"> </w:t>
      </w:r>
      <w:r w:rsidR="00BD251F" w:rsidRPr="00BD251F">
        <w:rPr>
          <w:color w:val="000000"/>
        </w:rPr>
        <w:t>2012 greater than 0.06 lb/MMBTU, installation of SCR was assumed and the NOx emissions rate was estimated as 10</w:t>
      </w:r>
      <w:r w:rsidR="009C564B" w:rsidRPr="00BD251F">
        <w:rPr>
          <w:color w:val="000000"/>
        </w:rPr>
        <w:t>% of</w:t>
      </w:r>
      <w:r w:rsidR="00BD251F" w:rsidRPr="00BD251F">
        <w:rPr>
          <w:color w:val="000000"/>
        </w:rPr>
        <w:t xml:space="preserve"> the lowest demonstrated ozone season average NOx emissions rate </w:t>
      </w:r>
      <w:r w:rsidR="00F56576">
        <w:rPr>
          <w:color w:val="000000"/>
        </w:rPr>
        <w:t>between the</w:t>
      </w:r>
      <w:r w:rsidR="00BD251F" w:rsidRPr="00BD251F">
        <w:rPr>
          <w:color w:val="000000"/>
        </w:rPr>
        <w:t xml:space="preserve"> years 2003 </w:t>
      </w:r>
      <w:r w:rsidR="00F56576">
        <w:rPr>
          <w:color w:val="000000"/>
        </w:rPr>
        <w:t>and</w:t>
      </w:r>
      <w:r w:rsidR="00F56576" w:rsidRPr="00BD251F">
        <w:rPr>
          <w:color w:val="000000"/>
        </w:rPr>
        <w:t xml:space="preserve"> </w:t>
      </w:r>
      <w:r w:rsidR="00BD251F" w:rsidRPr="00BD251F">
        <w:rPr>
          <w:color w:val="000000"/>
        </w:rPr>
        <w:t>2012.  The floor NOx emissions rate for this estimation was 0.06 lb/MMBTU.</w:t>
      </w:r>
    </w:p>
    <w:p w:rsidR="00AC1DC4" w:rsidRDefault="00AC1DC4" w:rsidP="00AC1DC4">
      <w:pPr>
        <w:ind w:left="720"/>
        <w:rPr>
          <w:color w:val="000000"/>
        </w:rPr>
      </w:pPr>
    </w:p>
    <w:p w:rsidR="002B21F7" w:rsidRDefault="00354E54" w:rsidP="002C65D0">
      <w:pPr>
        <w:rPr>
          <w:color w:val="000000"/>
        </w:rPr>
      </w:pPr>
      <w:r>
        <w:rPr>
          <w:color w:val="000000"/>
        </w:rPr>
        <w:t>C</w:t>
      </w:r>
      <w:r w:rsidR="002B21F7" w:rsidRPr="00BD251F">
        <w:rPr>
          <w:color w:val="000000"/>
        </w:rPr>
        <w:t>oal-fueled EGUs with a heat input rating of 1000 MMBTU/hr, or greater, but less than 2000 MMBTU/hr:</w:t>
      </w:r>
    </w:p>
    <w:p w:rsidR="002B21F7" w:rsidRPr="00BD251F" w:rsidRDefault="002B21F7" w:rsidP="002B21F7">
      <w:r w:rsidRPr="00BD251F">
        <w:rPr>
          <w:color w:val="000000"/>
        </w:rPr>
        <w:t xml:space="preserve"> </w:t>
      </w:r>
    </w:p>
    <w:p w:rsidR="002B21F7" w:rsidRDefault="00354E54" w:rsidP="00E5541A">
      <w:pPr>
        <w:numPr>
          <w:ilvl w:val="0"/>
          <w:numId w:val="29"/>
        </w:numPr>
        <w:rPr>
          <w:color w:val="000000"/>
        </w:rPr>
      </w:pPr>
      <w:r>
        <w:rPr>
          <w:color w:val="000000"/>
        </w:rPr>
        <w:t>C</w:t>
      </w:r>
      <w:r w:rsidR="002B21F7" w:rsidRPr="00BD251F">
        <w:rPr>
          <w:color w:val="000000"/>
        </w:rPr>
        <w:t>oal-fueled EGU</w:t>
      </w:r>
      <w:r w:rsidR="002B21F7">
        <w:rPr>
          <w:color w:val="000000"/>
        </w:rPr>
        <w:t>s</w:t>
      </w:r>
      <w:r w:rsidR="002B21F7" w:rsidRPr="00BD251F">
        <w:rPr>
          <w:color w:val="000000"/>
        </w:rPr>
        <w:t xml:space="preserve"> identified in the AMPD as incorporating SNCR and </w:t>
      </w:r>
      <w:r>
        <w:rPr>
          <w:color w:val="000000"/>
        </w:rPr>
        <w:t>with a</w:t>
      </w:r>
      <w:r w:rsidR="002B21F7" w:rsidRPr="00BD251F">
        <w:rPr>
          <w:color w:val="000000"/>
        </w:rPr>
        <w:t xml:space="preserve"> 2011 ozone season heat input capacity factor less than 40</w:t>
      </w:r>
      <w:r w:rsidR="009C564B" w:rsidRPr="00BD251F">
        <w:rPr>
          <w:color w:val="000000"/>
        </w:rPr>
        <w:t>%</w:t>
      </w:r>
      <w:r w:rsidR="009C564B">
        <w:rPr>
          <w:color w:val="000000"/>
        </w:rPr>
        <w:t xml:space="preserve"> of</w:t>
      </w:r>
      <w:r w:rsidR="002B21F7">
        <w:rPr>
          <w:color w:val="000000"/>
        </w:rPr>
        <w:t xml:space="preserve"> the total capacity</w:t>
      </w:r>
      <w:r w:rsidR="002B21F7" w:rsidRPr="00BD251F">
        <w:rPr>
          <w:color w:val="000000"/>
        </w:rPr>
        <w:t xml:space="preserve">, </w:t>
      </w:r>
      <w:r w:rsidR="002B21F7" w:rsidRPr="00BD251F">
        <w:rPr>
          <w:color w:val="000000"/>
        </w:rPr>
        <w:lastRenderedPageBreak/>
        <w:t xml:space="preserve">the estimated ozone season NOx emissions rate was the lowest demonstrated ozone season NOx emissions </w:t>
      </w:r>
      <w:r w:rsidR="00F56576">
        <w:rPr>
          <w:color w:val="000000"/>
        </w:rPr>
        <w:t>between the</w:t>
      </w:r>
      <w:r w:rsidR="002B21F7" w:rsidRPr="00BD251F">
        <w:rPr>
          <w:color w:val="000000"/>
        </w:rPr>
        <w:t xml:space="preserve"> years 2003 </w:t>
      </w:r>
      <w:r w:rsidR="00F56576">
        <w:rPr>
          <w:color w:val="000000"/>
        </w:rPr>
        <w:t>and</w:t>
      </w:r>
      <w:r w:rsidR="00F56576" w:rsidRPr="00BD251F">
        <w:rPr>
          <w:color w:val="000000"/>
        </w:rPr>
        <w:t xml:space="preserve"> </w:t>
      </w:r>
      <w:r w:rsidR="002B21F7" w:rsidRPr="00BD251F">
        <w:rPr>
          <w:color w:val="000000"/>
        </w:rPr>
        <w:t>2012.</w:t>
      </w:r>
    </w:p>
    <w:p w:rsidR="002B21F7" w:rsidRPr="00BD251F" w:rsidRDefault="002B21F7" w:rsidP="002B21F7">
      <w:pPr>
        <w:ind w:left="765" w:hanging="360"/>
      </w:pPr>
    </w:p>
    <w:p w:rsidR="002B21F7" w:rsidRDefault="00354E54" w:rsidP="00E5541A">
      <w:pPr>
        <w:numPr>
          <w:ilvl w:val="0"/>
          <w:numId w:val="29"/>
        </w:numPr>
        <w:rPr>
          <w:color w:val="000000"/>
        </w:rPr>
      </w:pPr>
      <w:r>
        <w:rPr>
          <w:color w:val="000000"/>
        </w:rPr>
        <w:t>C</w:t>
      </w:r>
      <w:r w:rsidR="002B21F7" w:rsidRPr="00BD251F">
        <w:rPr>
          <w:color w:val="000000"/>
        </w:rPr>
        <w:t>oal-fueled EGU</w:t>
      </w:r>
      <w:r w:rsidR="002B21F7">
        <w:rPr>
          <w:color w:val="000000"/>
        </w:rPr>
        <w:t>s</w:t>
      </w:r>
      <w:r w:rsidR="002B21F7" w:rsidRPr="00BD251F">
        <w:rPr>
          <w:color w:val="000000"/>
        </w:rPr>
        <w:t xml:space="preserve">  identified in the AMPD as incorporating SNCR </w:t>
      </w:r>
      <w:r>
        <w:rPr>
          <w:color w:val="000000"/>
        </w:rPr>
        <w:t xml:space="preserve">with </w:t>
      </w:r>
      <w:r w:rsidR="00B7267F">
        <w:rPr>
          <w:color w:val="000000"/>
        </w:rPr>
        <w:t xml:space="preserve">a </w:t>
      </w:r>
      <w:r w:rsidR="002B21F7" w:rsidRPr="00BD251F">
        <w:rPr>
          <w:color w:val="000000"/>
        </w:rPr>
        <w:t xml:space="preserve">lowest demonstrated ozone season NOx emissions rate </w:t>
      </w:r>
      <w:r w:rsidR="00F56576">
        <w:rPr>
          <w:color w:val="000000"/>
        </w:rPr>
        <w:t>between the</w:t>
      </w:r>
      <w:r w:rsidR="002B21F7" w:rsidRPr="00BD251F">
        <w:rPr>
          <w:color w:val="000000"/>
        </w:rPr>
        <w:t xml:space="preserve"> years 2003 </w:t>
      </w:r>
      <w:r w:rsidR="00F56576">
        <w:rPr>
          <w:color w:val="000000"/>
        </w:rPr>
        <w:t>and</w:t>
      </w:r>
      <w:r w:rsidR="00F56576" w:rsidRPr="00BD251F">
        <w:rPr>
          <w:color w:val="000000"/>
        </w:rPr>
        <w:t xml:space="preserve"> </w:t>
      </w:r>
      <w:r w:rsidR="002B21F7" w:rsidRPr="00BD251F">
        <w:rPr>
          <w:color w:val="000000"/>
        </w:rPr>
        <w:t xml:space="preserve">2012 greater than 0.06 lb/MMBTU and </w:t>
      </w:r>
      <w:r w:rsidR="00B7267F">
        <w:rPr>
          <w:color w:val="000000"/>
        </w:rPr>
        <w:t>a</w:t>
      </w:r>
      <w:r w:rsidR="00B7267F" w:rsidRPr="00BD251F">
        <w:rPr>
          <w:color w:val="000000"/>
        </w:rPr>
        <w:t xml:space="preserve"> </w:t>
      </w:r>
      <w:r w:rsidR="002B21F7" w:rsidRPr="00BD251F">
        <w:rPr>
          <w:color w:val="000000"/>
        </w:rPr>
        <w:t>2011 ozone season heat input capacity factor 40% or greater</w:t>
      </w:r>
      <w:r w:rsidR="002B21F7">
        <w:rPr>
          <w:color w:val="000000"/>
        </w:rPr>
        <w:t xml:space="preserve"> of the total capacity</w:t>
      </w:r>
      <w:r w:rsidR="002B21F7" w:rsidRPr="00BD251F">
        <w:rPr>
          <w:color w:val="000000"/>
        </w:rPr>
        <w:t xml:space="preserve">, installation of SCR was assumed.  The NOx emissions rate was estimated as 50% of the lowest demonstrated ozone season NOx emissions rate </w:t>
      </w:r>
      <w:r w:rsidR="00F56576">
        <w:rPr>
          <w:color w:val="000000"/>
        </w:rPr>
        <w:t>between the years</w:t>
      </w:r>
      <w:r w:rsidR="002B21F7" w:rsidRPr="00BD251F">
        <w:rPr>
          <w:color w:val="000000"/>
        </w:rPr>
        <w:t xml:space="preserve"> 2003 </w:t>
      </w:r>
      <w:r w:rsidR="00F56576">
        <w:rPr>
          <w:color w:val="000000"/>
        </w:rPr>
        <w:t>and</w:t>
      </w:r>
      <w:r w:rsidR="00F56576" w:rsidRPr="00BD251F">
        <w:rPr>
          <w:color w:val="000000"/>
        </w:rPr>
        <w:t xml:space="preserve"> </w:t>
      </w:r>
      <w:r w:rsidR="002B21F7" w:rsidRPr="00BD251F">
        <w:rPr>
          <w:color w:val="000000"/>
        </w:rPr>
        <w:t>2012.  The floor NOx emissions rate for this estimation was 0.06 lb/MMBTU.</w:t>
      </w:r>
    </w:p>
    <w:p w:rsidR="002B21F7" w:rsidRPr="00E90ACE" w:rsidRDefault="002B21F7" w:rsidP="002B21F7">
      <w:pPr>
        <w:ind w:left="765"/>
        <w:rPr>
          <w:color w:val="000000"/>
        </w:rPr>
      </w:pPr>
    </w:p>
    <w:p w:rsidR="002B21F7" w:rsidRDefault="00354E54" w:rsidP="00E5541A">
      <w:pPr>
        <w:numPr>
          <w:ilvl w:val="0"/>
          <w:numId w:val="29"/>
        </w:numPr>
        <w:rPr>
          <w:color w:val="000000"/>
        </w:rPr>
      </w:pPr>
      <w:r>
        <w:rPr>
          <w:color w:val="000000"/>
        </w:rPr>
        <w:t>C</w:t>
      </w:r>
      <w:r w:rsidR="002B21F7" w:rsidRPr="00BD251F">
        <w:rPr>
          <w:color w:val="000000"/>
        </w:rPr>
        <w:t>oal-fueled EGU</w:t>
      </w:r>
      <w:r w:rsidR="002B21F7">
        <w:rPr>
          <w:color w:val="000000"/>
        </w:rPr>
        <w:t>s</w:t>
      </w:r>
      <w:r w:rsidR="002B21F7" w:rsidRPr="00BD251F">
        <w:rPr>
          <w:color w:val="000000"/>
        </w:rPr>
        <w:t xml:space="preserve"> identified in the AMPD as incorporating</w:t>
      </w:r>
      <w:r w:rsidR="00B7267F">
        <w:rPr>
          <w:color w:val="000000"/>
        </w:rPr>
        <w:t xml:space="preserve"> neither</w:t>
      </w:r>
      <w:r w:rsidR="002B21F7" w:rsidRPr="00BD251F">
        <w:rPr>
          <w:color w:val="000000"/>
        </w:rPr>
        <w:t xml:space="preserve"> SCR </w:t>
      </w:r>
      <w:r w:rsidR="00D62DA9">
        <w:rPr>
          <w:color w:val="000000"/>
        </w:rPr>
        <w:t>n</w:t>
      </w:r>
      <w:r w:rsidR="002B21F7" w:rsidRPr="00BD251F">
        <w:rPr>
          <w:color w:val="000000"/>
        </w:rPr>
        <w:t>or SNCR,</w:t>
      </w:r>
      <w:r w:rsidR="002B21F7">
        <w:rPr>
          <w:color w:val="000000"/>
        </w:rPr>
        <w:t xml:space="preserve"> </w:t>
      </w:r>
      <w:r w:rsidR="00B04C0A">
        <w:rPr>
          <w:color w:val="000000"/>
        </w:rPr>
        <w:t xml:space="preserve">with </w:t>
      </w:r>
      <w:r w:rsidR="00B7267F">
        <w:rPr>
          <w:color w:val="000000"/>
        </w:rPr>
        <w:t>a</w:t>
      </w:r>
      <w:r w:rsidR="00B7267F" w:rsidRPr="00BD251F">
        <w:rPr>
          <w:color w:val="000000"/>
        </w:rPr>
        <w:t xml:space="preserve"> </w:t>
      </w:r>
      <w:r w:rsidR="002B21F7" w:rsidRPr="00BD251F">
        <w:rPr>
          <w:color w:val="000000"/>
        </w:rPr>
        <w:t xml:space="preserve">lowest demonstrated ozone season NOx emissions rate </w:t>
      </w:r>
      <w:r w:rsidR="00B7267F">
        <w:rPr>
          <w:color w:val="000000"/>
        </w:rPr>
        <w:t xml:space="preserve">between the </w:t>
      </w:r>
      <w:r w:rsidR="002B21F7" w:rsidRPr="00BD251F">
        <w:rPr>
          <w:color w:val="000000"/>
        </w:rPr>
        <w:t xml:space="preserve"> years 2003 </w:t>
      </w:r>
      <w:r w:rsidR="00B7267F">
        <w:rPr>
          <w:color w:val="000000"/>
        </w:rPr>
        <w:t>and</w:t>
      </w:r>
      <w:r w:rsidR="00B7267F" w:rsidRPr="00BD251F">
        <w:rPr>
          <w:color w:val="000000"/>
        </w:rPr>
        <w:t xml:space="preserve"> </w:t>
      </w:r>
      <w:r w:rsidR="002B21F7" w:rsidRPr="00BD251F">
        <w:rPr>
          <w:color w:val="000000"/>
        </w:rPr>
        <w:t>2012 greater than 0.06 lb/MMBTU and the 2011 ozone season heat input capacity factor 40% or greater</w:t>
      </w:r>
      <w:r w:rsidR="002B21F7">
        <w:rPr>
          <w:color w:val="000000"/>
        </w:rPr>
        <w:t xml:space="preserve"> of the total capacity </w:t>
      </w:r>
      <w:r w:rsidR="002B21F7" w:rsidRPr="00BD251F">
        <w:rPr>
          <w:color w:val="000000"/>
        </w:rPr>
        <w:t>, installation of SCR was assumed. The NOx emissions rate was estimated as 10</w:t>
      </w:r>
      <w:r w:rsidR="009C564B" w:rsidRPr="00BD251F">
        <w:rPr>
          <w:color w:val="000000"/>
        </w:rPr>
        <w:t>% of</w:t>
      </w:r>
      <w:r w:rsidR="002B21F7" w:rsidRPr="00BD251F">
        <w:rPr>
          <w:color w:val="000000"/>
        </w:rPr>
        <w:t xml:space="preserve"> the lowest demonstrated ozone season average NOx emissions rate </w:t>
      </w:r>
      <w:r w:rsidR="00B7267F">
        <w:rPr>
          <w:color w:val="000000"/>
        </w:rPr>
        <w:t>between the</w:t>
      </w:r>
      <w:r w:rsidR="002B21F7" w:rsidRPr="00BD251F">
        <w:rPr>
          <w:color w:val="000000"/>
        </w:rPr>
        <w:t xml:space="preserve"> years 2003 </w:t>
      </w:r>
      <w:r w:rsidR="00B7267F">
        <w:rPr>
          <w:color w:val="000000"/>
        </w:rPr>
        <w:t>and</w:t>
      </w:r>
      <w:r w:rsidR="00B7267F" w:rsidRPr="00BD251F">
        <w:rPr>
          <w:color w:val="000000"/>
        </w:rPr>
        <w:t xml:space="preserve"> </w:t>
      </w:r>
      <w:r w:rsidR="002B21F7" w:rsidRPr="00BD251F">
        <w:rPr>
          <w:color w:val="000000"/>
        </w:rPr>
        <w:t>2012.  The floor NOx emissions rate for this estimation was 0.06 lb/MMBTU.</w:t>
      </w:r>
    </w:p>
    <w:p w:rsidR="002B21F7" w:rsidRPr="00E90ACE" w:rsidRDefault="002B21F7" w:rsidP="002B21F7">
      <w:pPr>
        <w:rPr>
          <w:color w:val="000000"/>
        </w:rPr>
      </w:pPr>
    </w:p>
    <w:p w:rsidR="002B21F7" w:rsidRDefault="0095753B" w:rsidP="00E5541A">
      <w:pPr>
        <w:numPr>
          <w:ilvl w:val="0"/>
          <w:numId w:val="29"/>
        </w:numPr>
        <w:rPr>
          <w:color w:val="000000"/>
        </w:rPr>
      </w:pPr>
      <w:r>
        <w:rPr>
          <w:color w:val="000000"/>
        </w:rPr>
        <w:t>C</w:t>
      </w:r>
      <w:r w:rsidR="002B21F7" w:rsidRPr="00BD251F">
        <w:rPr>
          <w:color w:val="000000"/>
        </w:rPr>
        <w:t>oal-fueled EGU</w:t>
      </w:r>
      <w:r w:rsidR="002B21F7">
        <w:rPr>
          <w:color w:val="000000"/>
        </w:rPr>
        <w:t>s</w:t>
      </w:r>
      <w:r w:rsidR="002B21F7" w:rsidRPr="00BD251F">
        <w:rPr>
          <w:color w:val="000000"/>
        </w:rPr>
        <w:t xml:space="preserve"> identified in the AMPD as incorporating</w:t>
      </w:r>
      <w:r w:rsidR="00D62DA9">
        <w:rPr>
          <w:color w:val="000000"/>
        </w:rPr>
        <w:t xml:space="preserve"> neither</w:t>
      </w:r>
      <w:r w:rsidR="00D62DA9" w:rsidRPr="00BD251F">
        <w:rPr>
          <w:color w:val="000000"/>
        </w:rPr>
        <w:t xml:space="preserve"> SCR nor</w:t>
      </w:r>
      <w:r w:rsidR="002B21F7" w:rsidRPr="00BD251F">
        <w:rPr>
          <w:color w:val="000000"/>
        </w:rPr>
        <w:t xml:space="preserve"> SNCR,</w:t>
      </w:r>
      <w:r w:rsidR="002B21F7">
        <w:rPr>
          <w:color w:val="000000"/>
        </w:rPr>
        <w:t xml:space="preserve"> </w:t>
      </w:r>
      <w:r>
        <w:rPr>
          <w:color w:val="000000"/>
        </w:rPr>
        <w:t>with</w:t>
      </w:r>
      <w:r w:rsidR="002B21F7" w:rsidRPr="00BD251F">
        <w:rPr>
          <w:color w:val="000000"/>
        </w:rPr>
        <w:t xml:space="preserve"> </w:t>
      </w:r>
      <w:r w:rsidR="00D62DA9">
        <w:rPr>
          <w:color w:val="000000"/>
        </w:rPr>
        <w:t>a</w:t>
      </w:r>
      <w:r w:rsidR="00D62DA9" w:rsidRPr="00BD251F">
        <w:rPr>
          <w:color w:val="000000"/>
        </w:rPr>
        <w:t xml:space="preserve"> </w:t>
      </w:r>
      <w:r w:rsidR="002B21F7" w:rsidRPr="00BD251F">
        <w:rPr>
          <w:color w:val="000000"/>
        </w:rPr>
        <w:t xml:space="preserve">lowest demonstrated ozone season NOx emissions rate </w:t>
      </w:r>
      <w:r w:rsidR="00F56576">
        <w:rPr>
          <w:color w:val="000000"/>
        </w:rPr>
        <w:t>between the</w:t>
      </w:r>
      <w:r w:rsidR="002B21F7" w:rsidRPr="00BD251F">
        <w:rPr>
          <w:color w:val="000000"/>
        </w:rPr>
        <w:t xml:space="preserve"> years 2003 </w:t>
      </w:r>
      <w:r w:rsidR="00F56576">
        <w:rPr>
          <w:color w:val="000000"/>
        </w:rPr>
        <w:t>and</w:t>
      </w:r>
      <w:r w:rsidR="00F56576" w:rsidRPr="00BD251F">
        <w:rPr>
          <w:color w:val="000000"/>
        </w:rPr>
        <w:t xml:space="preserve"> </w:t>
      </w:r>
      <w:r w:rsidR="002B21F7" w:rsidRPr="00BD251F">
        <w:rPr>
          <w:color w:val="000000"/>
        </w:rPr>
        <w:t>2012 greater than 0.06 lb/MMBTU</w:t>
      </w:r>
      <w:r w:rsidR="00D62DA9">
        <w:rPr>
          <w:color w:val="000000"/>
        </w:rPr>
        <w:t xml:space="preserve"> </w:t>
      </w:r>
      <w:r w:rsidR="002B21F7" w:rsidRPr="00BD251F">
        <w:rPr>
          <w:color w:val="000000"/>
        </w:rPr>
        <w:t>and the 2011 ozone season heat input capacity factor less than 40%</w:t>
      </w:r>
      <w:r w:rsidR="002B21F7">
        <w:rPr>
          <w:color w:val="000000"/>
        </w:rPr>
        <w:t xml:space="preserve"> of the total </w:t>
      </w:r>
      <w:r w:rsidR="009C564B">
        <w:rPr>
          <w:color w:val="000000"/>
        </w:rPr>
        <w:t>capacity</w:t>
      </w:r>
      <w:r w:rsidR="002B21F7" w:rsidRPr="00BD251F">
        <w:rPr>
          <w:color w:val="000000"/>
        </w:rPr>
        <w:t xml:space="preserve">, installation of SNCR was assumed. The NOx emissions rate was estimated as 60% of the lowest demonstrated ozone season average NOx emissions rate </w:t>
      </w:r>
      <w:r w:rsidR="00F56576">
        <w:rPr>
          <w:color w:val="000000"/>
        </w:rPr>
        <w:t>between the</w:t>
      </w:r>
      <w:r w:rsidR="002B21F7" w:rsidRPr="00BD251F">
        <w:rPr>
          <w:color w:val="000000"/>
        </w:rPr>
        <w:t xml:space="preserve"> years </w:t>
      </w:r>
      <w:r w:rsidR="00114C47" w:rsidRPr="00BD251F">
        <w:rPr>
          <w:color w:val="000000"/>
        </w:rPr>
        <w:t xml:space="preserve">2003 </w:t>
      </w:r>
      <w:r w:rsidR="00114C47">
        <w:rPr>
          <w:color w:val="000000"/>
        </w:rPr>
        <w:t>and 2012</w:t>
      </w:r>
      <w:r w:rsidR="002B21F7" w:rsidRPr="00BD251F">
        <w:rPr>
          <w:color w:val="000000"/>
        </w:rPr>
        <w:t>.  The floor NOx emissions rate for this estimation was 0.06 lb/MMBTU.</w:t>
      </w:r>
    </w:p>
    <w:p w:rsidR="00BD251F" w:rsidRPr="00BD251F" w:rsidRDefault="00BD251F" w:rsidP="00BD251F">
      <w:pPr>
        <w:ind w:left="765"/>
      </w:pPr>
      <w:r w:rsidRPr="00BD251F">
        <w:rPr>
          <w:color w:val="000000"/>
        </w:rPr>
        <w:t> </w:t>
      </w:r>
    </w:p>
    <w:p w:rsidR="00BD251F" w:rsidRDefault="00354E54" w:rsidP="00BD251F">
      <w:pPr>
        <w:ind w:left="405" w:hanging="360"/>
        <w:rPr>
          <w:color w:val="000000"/>
        </w:rPr>
      </w:pPr>
      <w:r>
        <w:rPr>
          <w:color w:val="000000"/>
        </w:rPr>
        <w:t>C</w:t>
      </w:r>
      <w:r w:rsidR="00BD251F" w:rsidRPr="00BD251F">
        <w:rPr>
          <w:color w:val="000000"/>
        </w:rPr>
        <w:t>oal-fueled EGUs with a heat input rating of less than 1000 MMBTU/hr:</w:t>
      </w:r>
    </w:p>
    <w:p w:rsidR="00BD251F" w:rsidRPr="00BD251F" w:rsidRDefault="00BD251F" w:rsidP="00BD251F">
      <w:pPr>
        <w:ind w:left="405" w:hanging="360"/>
      </w:pPr>
    </w:p>
    <w:p w:rsidR="00BD251F" w:rsidRDefault="00DA5763" w:rsidP="002D6DDF">
      <w:pPr>
        <w:numPr>
          <w:ilvl w:val="0"/>
          <w:numId w:val="14"/>
        </w:numPr>
        <w:rPr>
          <w:color w:val="000000"/>
        </w:rPr>
      </w:pPr>
      <w:r>
        <w:rPr>
          <w:color w:val="000000"/>
        </w:rPr>
        <w:t xml:space="preserve"> C</w:t>
      </w:r>
      <w:r w:rsidR="00BD251F" w:rsidRPr="00BD251F">
        <w:rPr>
          <w:color w:val="000000"/>
        </w:rPr>
        <w:t>oal-fueled EGU</w:t>
      </w:r>
      <w:r w:rsidR="002D6DDF">
        <w:rPr>
          <w:color w:val="000000"/>
        </w:rPr>
        <w:t>s</w:t>
      </w:r>
      <w:r w:rsidR="00BD251F" w:rsidRPr="00BD251F">
        <w:rPr>
          <w:color w:val="000000"/>
        </w:rPr>
        <w:t xml:space="preserve"> identified in the AMPD as incorporating SCR or SNCR, the estimated ozone season NOx emissions rate </w:t>
      </w:r>
      <w:r w:rsidR="00911DD2">
        <w:rPr>
          <w:color w:val="000000"/>
        </w:rPr>
        <w:t xml:space="preserve">used </w:t>
      </w:r>
      <w:r w:rsidR="00BD251F" w:rsidRPr="00BD251F">
        <w:rPr>
          <w:color w:val="000000"/>
        </w:rPr>
        <w:t xml:space="preserve">was the lowest demonstrated ozone season NOx emissions rate </w:t>
      </w:r>
      <w:r w:rsidR="00E5541A">
        <w:rPr>
          <w:color w:val="000000"/>
        </w:rPr>
        <w:t xml:space="preserve">between </w:t>
      </w:r>
      <w:r w:rsidR="00114C47">
        <w:rPr>
          <w:color w:val="000000"/>
        </w:rPr>
        <w:t xml:space="preserve">the </w:t>
      </w:r>
      <w:r w:rsidR="00114C47" w:rsidRPr="00BD251F">
        <w:rPr>
          <w:color w:val="000000"/>
        </w:rPr>
        <w:t>years</w:t>
      </w:r>
      <w:r w:rsidR="00BD251F" w:rsidRPr="00BD251F">
        <w:rPr>
          <w:color w:val="000000"/>
        </w:rPr>
        <w:t xml:space="preserve"> 2003 </w:t>
      </w:r>
      <w:r w:rsidR="00E5541A">
        <w:rPr>
          <w:color w:val="000000"/>
        </w:rPr>
        <w:t>and</w:t>
      </w:r>
      <w:r w:rsidR="00114C47">
        <w:rPr>
          <w:color w:val="000000"/>
        </w:rPr>
        <w:t xml:space="preserve"> </w:t>
      </w:r>
      <w:r w:rsidR="00BD251F" w:rsidRPr="00BD251F">
        <w:rPr>
          <w:color w:val="000000"/>
        </w:rPr>
        <w:t>2012.</w:t>
      </w:r>
    </w:p>
    <w:p w:rsidR="002D6DDF" w:rsidRPr="00BD251F" w:rsidRDefault="002D6DDF" w:rsidP="002D6DDF">
      <w:pPr>
        <w:ind w:left="405"/>
      </w:pPr>
    </w:p>
    <w:p w:rsidR="00BD251F" w:rsidRPr="00BD251F" w:rsidRDefault="00BD251F" w:rsidP="00D62DA9">
      <w:pPr>
        <w:ind w:left="720" w:hanging="315"/>
      </w:pPr>
      <w:r w:rsidRPr="00BD251F">
        <w:rPr>
          <w:color w:val="000000"/>
        </w:rPr>
        <w:t>2)  </w:t>
      </w:r>
      <w:r w:rsidR="00911DD2">
        <w:rPr>
          <w:color w:val="000000"/>
        </w:rPr>
        <w:t>C</w:t>
      </w:r>
      <w:r w:rsidRPr="00BD251F">
        <w:rPr>
          <w:color w:val="000000"/>
        </w:rPr>
        <w:t>oal-fueled EGU</w:t>
      </w:r>
      <w:r w:rsidR="002D6DDF">
        <w:rPr>
          <w:color w:val="000000"/>
        </w:rPr>
        <w:t>s</w:t>
      </w:r>
      <w:r w:rsidRPr="00BD251F">
        <w:rPr>
          <w:color w:val="000000"/>
        </w:rPr>
        <w:t xml:space="preserve"> identified in the AMPD as incorporating </w:t>
      </w:r>
      <w:r w:rsidR="00D62DA9">
        <w:rPr>
          <w:color w:val="000000"/>
        </w:rPr>
        <w:t>n</w:t>
      </w:r>
      <w:r w:rsidRPr="00BD251F">
        <w:rPr>
          <w:color w:val="000000"/>
        </w:rPr>
        <w:t xml:space="preserve">either SNCR </w:t>
      </w:r>
      <w:r w:rsidR="00D62DA9">
        <w:rPr>
          <w:color w:val="000000"/>
        </w:rPr>
        <w:t>n</w:t>
      </w:r>
      <w:r w:rsidRPr="00BD251F">
        <w:rPr>
          <w:color w:val="000000"/>
        </w:rPr>
        <w:t>or SCR, installation of SNCR was assumed.  The NOx emissions rate was</w:t>
      </w:r>
      <w:r w:rsidR="00D62DA9">
        <w:rPr>
          <w:color w:val="000000"/>
        </w:rPr>
        <w:t xml:space="preserve"> estimated</w:t>
      </w:r>
      <w:r w:rsidRPr="00BD251F">
        <w:rPr>
          <w:color w:val="000000"/>
        </w:rPr>
        <w:t xml:space="preserve"> as 60% of the lowest demonstrated ozone season average NOx emissions rate </w:t>
      </w:r>
      <w:r w:rsidR="00E5541A">
        <w:rPr>
          <w:color w:val="000000"/>
        </w:rPr>
        <w:t>between</w:t>
      </w:r>
      <w:r w:rsidR="00E5541A" w:rsidRPr="00BD251F">
        <w:rPr>
          <w:color w:val="000000"/>
        </w:rPr>
        <w:t xml:space="preserve"> </w:t>
      </w:r>
      <w:r w:rsidRPr="00BD251F">
        <w:rPr>
          <w:color w:val="000000"/>
        </w:rPr>
        <w:t>the</w:t>
      </w:r>
      <w:r w:rsidR="00E5541A">
        <w:rPr>
          <w:color w:val="000000"/>
        </w:rPr>
        <w:t xml:space="preserve"> </w:t>
      </w:r>
      <w:r w:rsidRPr="00BD251F">
        <w:rPr>
          <w:color w:val="000000"/>
        </w:rPr>
        <w:t xml:space="preserve">years 2003 </w:t>
      </w:r>
      <w:r w:rsidR="00E5541A">
        <w:rPr>
          <w:color w:val="000000"/>
        </w:rPr>
        <w:t>and</w:t>
      </w:r>
      <w:r w:rsidR="00E5541A" w:rsidRPr="00BD251F">
        <w:rPr>
          <w:color w:val="000000"/>
        </w:rPr>
        <w:t xml:space="preserve"> </w:t>
      </w:r>
      <w:r w:rsidRPr="00BD251F">
        <w:rPr>
          <w:color w:val="000000"/>
        </w:rPr>
        <w:t>2012.  The floor NOx emissions rate for this estimation was 0.06 lb/MMBTU.</w:t>
      </w:r>
    </w:p>
    <w:p w:rsidR="00C35521" w:rsidRDefault="00C35521" w:rsidP="006B6BE8">
      <w:pPr>
        <w:ind w:left="765"/>
        <w:rPr>
          <w:color w:val="000000"/>
        </w:rPr>
      </w:pPr>
    </w:p>
    <w:p w:rsidR="00520FC8" w:rsidRPr="00BD251F" w:rsidRDefault="00BD251F" w:rsidP="006B6BE8">
      <w:pPr>
        <w:ind w:left="765"/>
      </w:pPr>
      <w:r w:rsidRPr="00BD251F">
        <w:rPr>
          <w:color w:val="000000"/>
        </w:rPr>
        <w:t> </w:t>
      </w:r>
    </w:p>
    <w:p w:rsidR="00520FC8" w:rsidRPr="00144F25" w:rsidRDefault="00520FC8" w:rsidP="004C6A60">
      <w:pPr>
        <w:numPr>
          <w:ilvl w:val="0"/>
          <w:numId w:val="34"/>
        </w:numPr>
        <w:rPr>
          <w:bCs/>
          <w:i/>
          <w:color w:val="000000"/>
          <w:u w:val="single"/>
        </w:rPr>
      </w:pPr>
      <w:r w:rsidRPr="00144F25">
        <w:rPr>
          <w:bCs/>
          <w:i/>
          <w:color w:val="000000"/>
          <w:u w:val="single"/>
        </w:rPr>
        <w:t>Non-Coal Fueled Boilers Serving EGUs</w:t>
      </w:r>
    </w:p>
    <w:p w:rsidR="00520FC8" w:rsidRPr="00520FC8" w:rsidRDefault="00520FC8" w:rsidP="00520FC8"/>
    <w:p w:rsidR="00520FC8" w:rsidRDefault="00520FC8" w:rsidP="00520FC8">
      <w:pPr>
        <w:rPr>
          <w:color w:val="000000"/>
        </w:rPr>
      </w:pPr>
      <w:r w:rsidRPr="00520FC8">
        <w:rPr>
          <w:color w:val="000000"/>
        </w:rPr>
        <w:t>Non-coal fueled boilers serving EGUs were those EGU boilers identified in the AMPD</w:t>
      </w:r>
      <w:r>
        <w:rPr>
          <w:color w:val="000000"/>
        </w:rPr>
        <w:t xml:space="preserve"> as </w:t>
      </w:r>
      <w:r w:rsidRPr="00520FC8">
        <w:rPr>
          <w:color w:val="000000"/>
        </w:rPr>
        <w:t xml:space="preserve">not including coal </w:t>
      </w:r>
      <w:r w:rsidR="00021FA8">
        <w:rPr>
          <w:color w:val="000000"/>
        </w:rPr>
        <w:t xml:space="preserve">or coal-refuse </w:t>
      </w:r>
      <w:r w:rsidRPr="00520FC8">
        <w:rPr>
          <w:color w:val="000000"/>
        </w:rPr>
        <w:t>as a primary or secondary fuel.</w:t>
      </w:r>
    </w:p>
    <w:p w:rsidR="006C6685" w:rsidRDefault="006C6685" w:rsidP="00520FC8">
      <w:pPr>
        <w:rPr>
          <w:color w:val="000000"/>
        </w:rPr>
      </w:pPr>
    </w:p>
    <w:p w:rsidR="00520FC8" w:rsidRDefault="00520FC8" w:rsidP="00864727">
      <w:pPr>
        <w:rPr>
          <w:color w:val="000000"/>
        </w:rPr>
      </w:pPr>
      <w:r w:rsidRPr="00520FC8">
        <w:rPr>
          <w:color w:val="000000"/>
        </w:rPr>
        <w:lastRenderedPageBreak/>
        <w:t xml:space="preserve">If the non-coal fueled EGU boiler’s lowest demonstrated ozone season NOx emissions rate </w:t>
      </w:r>
      <w:r w:rsidR="00E5541A">
        <w:rPr>
          <w:color w:val="000000"/>
        </w:rPr>
        <w:t>between the</w:t>
      </w:r>
      <w:r w:rsidRPr="00520FC8">
        <w:rPr>
          <w:color w:val="000000"/>
        </w:rPr>
        <w:t xml:space="preserve"> years 2003 </w:t>
      </w:r>
      <w:r w:rsidR="00E5541A">
        <w:rPr>
          <w:color w:val="000000"/>
        </w:rPr>
        <w:t>and</w:t>
      </w:r>
      <w:r w:rsidRPr="00520FC8">
        <w:rPr>
          <w:color w:val="000000"/>
        </w:rPr>
        <w:t xml:space="preserve">2012 was less than 0.1 lb/MMBTU, </w:t>
      </w:r>
      <w:r w:rsidR="002B21F7" w:rsidRPr="00520FC8">
        <w:rPr>
          <w:color w:val="000000"/>
        </w:rPr>
        <w:t>0.1 lb/MMBTU</w:t>
      </w:r>
      <w:r w:rsidR="002B21F7" w:rsidRPr="00520FC8" w:rsidDel="002B21F7">
        <w:rPr>
          <w:color w:val="000000"/>
        </w:rPr>
        <w:t xml:space="preserve"> </w:t>
      </w:r>
      <w:r w:rsidRPr="00520FC8">
        <w:rPr>
          <w:color w:val="000000"/>
        </w:rPr>
        <w:t>was the estimated ozone season NOx emissions rate regardless of the NOx controls installation indicated in the AMPD.</w:t>
      </w:r>
    </w:p>
    <w:p w:rsidR="00864727" w:rsidRDefault="00864727" w:rsidP="00864727">
      <w:pPr>
        <w:rPr>
          <w:color w:val="000000"/>
        </w:rPr>
      </w:pPr>
    </w:p>
    <w:p w:rsidR="00864727" w:rsidRPr="004310B8" w:rsidRDefault="00864727" w:rsidP="00864727">
      <w:pPr>
        <w:rPr>
          <w:color w:val="000000"/>
        </w:rPr>
      </w:pPr>
      <w:r w:rsidRPr="004310B8">
        <w:rPr>
          <w:color w:val="000000"/>
        </w:rPr>
        <w:t>Non-coal-fueled EGU with a heat input rating of 2000 MMBtu/hr. or greater</w:t>
      </w:r>
      <w:r w:rsidR="00320C20">
        <w:rPr>
          <w:color w:val="000000"/>
        </w:rPr>
        <w:t>:</w:t>
      </w:r>
    </w:p>
    <w:p w:rsidR="002B21F7" w:rsidRDefault="002B21F7" w:rsidP="002B21F7">
      <w:pPr>
        <w:ind w:left="720"/>
        <w:rPr>
          <w:color w:val="000000"/>
        </w:rPr>
      </w:pPr>
    </w:p>
    <w:p w:rsidR="00520FC8" w:rsidRDefault="00E344C6" w:rsidP="00520FC8">
      <w:pPr>
        <w:numPr>
          <w:ilvl w:val="0"/>
          <w:numId w:val="10"/>
        </w:numPr>
        <w:rPr>
          <w:color w:val="000000"/>
        </w:rPr>
      </w:pPr>
      <w:r>
        <w:rPr>
          <w:color w:val="000000"/>
        </w:rPr>
        <w:t>N</w:t>
      </w:r>
      <w:r w:rsidR="00520FC8" w:rsidRPr="00520FC8">
        <w:rPr>
          <w:color w:val="000000"/>
        </w:rPr>
        <w:t xml:space="preserve">on-coal fueled EGU </w:t>
      </w:r>
      <w:r w:rsidR="009C564B" w:rsidRPr="00520FC8">
        <w:rPr>
          <w:color w:val="000000"/>
        </w:rPr>
        <w:t>boiler</w:t>
      </w:r>
      <w:r w:rsidR="009C564B">
        <w:rPr>
          <w:color w:val="000000"/>
        </w:rPr>
        <w:t>s</w:t>
      </w:r>
      <w:r w:rsidR="009C564B" w:rsidRPr="00520FC8">
        <w:rPr>
          <w:color w:val="000000"/>
        </w:rPr>
        <w:t xml:space="preserve"> identified</w:t>
      </w:r>
      <w:r w:rsidR="00520FC8" w:rsidRPr="00520FC8">
        <w:rPr>
          <w:color w:val="000000"/>
        </w:rPr>
        <w:t xml:space="preserve"> in the AMPD as incorporating SCR or SNCR</w:t>
      </w:r>
      <w:r w:rsidR="0043449E" w:rsidRPr="00520FC8">
        <w:rPr>
          <w:color w:val="000000"/>
        </w:rPr>
        <w:t xml:space="preserve">, </w:t>
      </w:r>
      <w:r w:rsidR="0043449E">
        <w:rPr>
          <w:color w:val="000000"/>
        </w:rPr>
        <w:t xml:space="preserve">the </w:t>
      </w:r>
      <w:r w:rsidR="00520FC8" w:rsidRPr="00520FC8">
        <w:rPr>
          <w:color w:val="000000"/>
        </w:rPr>
        <w:t xml:space="preserve">NOx emission rate was the lowest demonstrated ozone season NOx emissions rate </w:t>
      </w:r>
      <w:r w:rsidR="006C6685">
        <w:rPr>
          <w:color w:val="000000"/>
        </w:rPr>
        <w:t>between the</w:t>
      </w:r>
      <w:r w:rsidR="00520FC8" w:rsidRPr="00520FC8">
        <w:rPr>
          <w:color w:val="000000"/>
        </w:rPr>
        <w:t xml:space="preserve"> years 2003 </w:t>
      </w:r>
      <w:r w:rsidR="006C6685">
        <w:rPr>
          <w:color w:val="000000"/>
        </w:rPr>
        <w:t>and</w:t>
      </w:r>
      <w:r w:rsidR="006C6685" w:rsidRPr="00520FC8">
        <w:rPr>
          <w:color w:val="000000"/>
        </w:rPr>
        <w:t xml:space="preserve"> </w:t>
      </w:r>
      <w:r w:rsidR="00520FC8" w:rsidRPr="00520FC8">
        <w:rPr>
          <w:color w:val="000000"/>
        </w:rPr>
        <w:t>2012.</w:t>
      </w:r>
    </w:p>
    <w:p w:rsidR="002B21F7" w:rsidRDefault="002B21F7" w:rsidP="002B21F7">
      <w:pPr>
        <w:rPr>
          <w:color w:val="000000"/>
        </w:rPr>
      </w:pPr>
    </w:p>
    <w:p w:rsidR="00520FC8" w:rsidRDefault="00785310" w:rsidP="004310B8">
      <w:pPr>
        <w:numPr>
          <w:ilvl w:val="0"/>
          <w:numId w:val="10"/>
        </w:numPr>
        <w:rPr>
          <w:color w:val="000000"/>
        </w:rPr>
      </w:pPr>
      <w:r>
        <w:rPr>
          <w:color w:val="000000"/>
        </w:rPr>
        <w:t>N</w:t>
      </w:r>
      <w:r w:rsidR="00520FC8" w:rsidRPr="00520FC8">
        <w:rPr>
          <w:color w:val="000000"/>
        </w:rPr>
        <w:t>on-coal fueled EGU boiler</w:t>
      </w:r>
      <w:r w:rsidR="002B21F7">
        <w:rPr>
          <w:color w:val="000000"/>
        </w:rPr>
        <w:t>s</w:t>
      </w:r>
      <w:r w:rsidR="00520FC8" w:rsidRPr="00520FC8">
        <w:rPr>
          <w:color w:val="000000"/>
        </w:rPr>
        <w:t xml:space="preserve"> identified in the AMPD</w:t>
      </w:r>
      <w:r w:rsidR="0043449E">
        <w:rPr>
          <w:color w:val="000000"/>
        </w:rPr>
        <w:t xml:space="preserve"> as incorporating neither SCR nor SNCR</w:t>
      </w:r>
      <w:r w:rsidR="00520FC8" w:rsidRPr="00520FC8">
        <w:rPr>
          <w:color w:val="000000"/>
        </w:rPr>
        <w:t xml:space="preserve">, </w:t>
      </w:r>
      <w:r w:rsidR="0043449E">
        <w:rPr>
          <w:color w:val="000000"/>
        </w:rPr>
        <w:t xml:space="preserve">with a </w:t>
      </w:r>
      <w:r w:rsidR="0043449E" w:rsidRPr="00520FC8">
        <w:rPr>
          <w:color w:val="000000"/>
        </w:rPr>
        <w:t>lowest</w:t>
      </w:r>
      <w:r w:rsidR="00520FC8" w:rsidRPr="00520FC8">
        <w:rPr>
          <w:color w:val="000000"/>
        </w:rPr>
        <w:t xml:space="preserve"> demonstrated ozone season NOx emissions rate </w:t>
      </w:r>
      <w:r w:rsidR="006C6685">
        <w:rPr>
          <w:color w:val="000000"/>
        </w:rPr>
        <w:t>between the</w:t>
      </w:r>
      <w:r w:rsidR="00520FC8" w:rsidRPr="00520FC8">
        <w:rPr>
          <w:color w:val="000000"/>
        </w:rPr>
        <w:t xml:space="preserve"> years 2003 </w:t>
      </w:r>
      <w:r w:rsidR="006C6685">
        <w:rPr>
          <w:color w:val="000000"/>
        </w:rPr>
        <w:t xml:space="preserve">and </w:t>
      </w:r>
      <w:r w:rsidR="00520FC8" w:rsidRPr="00520FC8">
        <w:rPr>
          <w:color w:val="000000"/>
        </w:rPr>
        <w:t>2012 greater than 0.1 lb/MMBTU</w:t>
      </w:r>
      <w:r w:rsidR="006908BE" w:rsidRPr="00520FC8">
        <w:rPr>
          <w:color w:val="000000"/>
        </w:rPr>
        <w:t>, installation</w:t>
      </w:r>
      <w:r w:rsidR="00520FC8" w:rsidRPr="00520FC8">
        <w:rPr>
          <w:color w:val="000000"/>
        </w:rPr>
        <w:t xml:space="preserve"> of SCR was assumed.  The NOx emissions rate was estimated as 20% of the lowest demonstrated ozone season average NOx emissions rate </w:t>
      </w:r>
      <w:r w:rsidR="006C6685">
        <w:rPr>
          <w:color w:val="000000"/>
        </w:rPr>
        <w:t>between the</w:t>
      </w:r>
      <w:r w:rsidR="00520FC8" w:rsidRPr="00520FC8">
        <w:rPr>
          <w:color w:val="000000"/>
        </w:rPr>
        <w:t xml:space="preserve"> years 2003 </w:t>
      </w:r>
      <w:r w:rsidR="006C6685">
        <w:rPr>
          <w:color w:val="000000"/>
        </w:rPr>
        <w:t>and</w:t>
      </w:r>
      <w:r w:rsidR="006C6685" w:rsidRPr="00520FC8">
        <w:rPr>
          <w:color w:val="000000"/>
        </w:rPr>
        <w:t xml:space="preserve"> </w:t>
      </w:r>
      <w:r w:rsidR="00520FC8" w:rsidRPr="00520FC8">
        <w:rPr>
          <w:color w:val="000000"/>
        </w:rPr>
        <w:t>2012.  The floor NOx emissions rate for this estimation was 0.06 lb/MMBTU.</w:t>
      </w:r>
    </w:p>
    <w:p w:rsidR="003C3AB8" w:rsidRPr="00520FC8" w:rsidRDefault="003C3AB8" w:rsidP="00895694">
      <w:pPr>
        <w:rPr>
          <w:color w:val="000000"/>
        </w:rPr>
      </w:pPr>
    </w:p>
    <w:p w:rsidR="00520FC8" w:rsidRDefault="002F6038" w:rsidP="00895694">
      <w:pPr>
        <w:ind w:left="45"/>
        <w:rPr>
          <w:color w:val="000000"/>
        </w:rPr>
      </w:pPr>
      <w:r>
        <w:rPr>
          <w:color w:val="000000"/>
        </w:rPr>
        <w:t>N</w:t>
      </w:r>
      <w:r w:rsidR="00520FC8" w:rsidRPr="00520FC8">
        <w:rPr>
          <w:color w:val="000000"/>
        </w:rPr>
        <w:t>on-coal fueled EGU boilers with a heat input rating of 1000 MMBTU/hr, or greater, but less than 2000 MMBTU/hr:</w:t>
      </w:r>
    </w:p>
    <w:p w:rsidR="00895694" w:rsidRPr="00520FC8" w:rsidRDefault="00895694" w:rsidP="00895694">
      <w:pPr>
        <w:ind w:left="45"/>
      </w:pPr>
    </w:p>
    <w:p w:rsidR="004C08AE" w:rsidRDefault="004C08AE" w:rsidP="004C08AE">
      <w:pPr>
        <w:ind w:left="45"/>
        <w:rPr>
          <w:color w:val="000000"/>
        </w:rPr>
      </w:pPr>
      <w:r>
        <w:rPr>
          <w:color w:val="000000"/>
        </w:rPr>
        <w:t xml:space="preserve">    </w:t>
      </w:r>
      <w:r w:rsidR="00520FC8" w:rsidRPr="00520FC8">
        <w:rPr>
          <w:color w:val="000000"/>
        </w:rPr>
        <w:t>1)   </w:t>
      </w:r>
      <w:r w:rsidR="002F6038">
        <w:rPr>
          <w:color w:val="000000"/>
        </w:rPr>
        <w:t>N</w:t>
      </w:r>
      <w:r w:rsidR="00520FC8" w:rsidRPr="00520FC8">
        <w:rPr>
          <w:color w:val="000000"/>
        </w:rPr>
        <w:t>on-coal fueled EGU boiler</w:t>
      </w:r>
      <w:r w:rsidR="002004D0">
        <w:rPr>
          <w:color w:val="000000"/>
        </w:rPr>
        <w:t>s</w:t>
      </w:r>
      <w:r w:rsidR="00520FC8" w:rsidRPr="00520FC8">
        <w:rPr>
          <w:color w:val="000000"/>
        </w:rPr>
        <w:t xml:space="preserve"> identified in the AMPD as incorporating </w:t>
      </w:r>
      <w:r w:rsidR="009C564B" w:rsidRPr="00520FC8">
        <w:rPr>
          <w:color w:val="000000"/>
        </w:rPr>
        <w:t>SCR;</w:t>
      </w:r>
      <w:r w:rsidR="00520FC8" w:rsidRPr="00520FC8">
        <w:rPr>
          <w:color w:val="000000"/>
        </w:rPr>
        <w:t xml:space="preserve"> the</w:t>
      </w:r>
    </w:p>
    <w:p w:rsidR="004C08AE" w:rsidRDefault="004C08AE" w:rsidP="004C08AE">
      <w:pPr>
        <w:ind w:left="45"/>
        <w:rPr>
          <w:color w:val="000000"/>
        </w:rPr>
      </w:pPr>
      <w:r>
        <w:rPr>
          <w:color w:val="000000"/>
        </w:rPr>
        <w:t xml:space="preserve">          </w:t>
      </w:r>
      <w:proofErr w:type="gramStart"/>
      <w:r w:rsidR="00520FC8" w:rsidRPr="00520FC8">
        <w:rPr>
          <w:color w:val="000000"/>
        </w:rPr>
        <w:t>estimated</w:t>
      </w:r>
      <w:proofErr w:type="gramEnd"/>
      <w:r w:rsidR="00520FC8" w:rsidRPr="00520FC8">
        <w:rPr>
          <w:color w:val="000000"/>
        </w:rPr>
        <w:t xml:space="preserve"> ozone season NOx emissions rate was the lowest </w:t>
      </w:r>
      <w:r>
        <w:rPr>
          <w:color w:val="000000"/>
        </w:rPr>
        <w:t>demonstrated</w:t>
      </w:r>
    </w:p>
    <w:p w:rsidR="00F13E0B" w:rsidRDefault="004C08AE" w:rsidP="004C08AE">
      <w:pPr>
        <w:ind w:left="45"/>
        <w:rPr>
          <w:color w:val="000000"/>
        </w:rPr>
      </w:pPr>
      <w:r>
        <w:rPr>
          <w:color w:val="000000"/>
        </w:rPr>
        <w:t xml:space="preserve">          </w:t>
      </w:r>
      <w:proofErr w:type="gramStart"/>
      <w:r w:rsidR="00520FC8" w:rsidRPr="00520FC8">
        <w:rPr>
          <w:color w:val="000000"/>
        </w:rPr>
        <w:t>ozone</w:t>
      </w:r>
      <w:proofErr w:type="gramEnd"/>
      <w:r w:rsidR="00520FC8" w:rsidRPr="00520FC8">
        <w:rPr>
          <w:color w:val="000000"/>
        </w:rPr>
        <w:t xml:space="preserve"> season NOx emissions rate </w:t>
      </w:r>
      <w:r w:rsidR="006C6685">
        <w:rPr>
          <w:color w:val="000000"/>
        </w:rPr>
        <w:t>between the</w:t>
      </w:r>
      <w:r w:rsidR="00520FC8" w:rsidRPr="00520FC8">
        <w:rPr>
          <w:color w:val="000000"/>
        </w:rPr>
        <w:t xml:space="preserve"> years 2003 </w:t>
      </w:r>
      <w:r w:rsidR="006C6685">
        <w:rPr>
          <w:color w:val="000000"/>
        </w:rPr>
        <w:t>and</w:t>
      </w:r>
      <w:r w:rsidR="004A4EA1">
        <w:rPr>
          <w:color w:val="000000"/>
        </w:rPr>
        <w:t xml:space="preserve"> </w:t>
      </w:r>
      <w:r w:rsidR="00520FC8" w:rsidRPr="00520FC8">
        <w:rPr>
          <w:color w:val="000000"/>
        </w:rPr>
        <w:t>2012.</w:t>
      </w:r>
    </w:p>
    <w:p w:rsidR="00F13E0B" w:rsidRDefault="00F13E0B" w:rsidP="004C08AE">
      <w:pPr>
        <w:rPr>
          <w:color w:val="000000"/>
        </w:rPr>
      </w:pPr>
    </w:p>
    <w:p w:rsidR="00F13E0B" w:rsidRDefault="00F13E0B" w:rsidP="00F13E0B">
      <w:pPr>
        <w:rPr>
          <w:color w:val="000000"/>
        </w:rPr>
      </w:pPr>
      <w:r>
        <w:rPr>
          <w:color w:val="000000"/>
        </w:rPr>
        <w:t xml:space="preserve">     2)  </w:t>
      </w:r>
      <w:r w:rsidR="002F6038">
        <w:rPr>
          <w:color w:val="000000"/>
        </w:rPr>
        <w:t>N</w:t>
      </w:r>
      <w:r w:rsidR="00520FC8" w:rsidRPr="00520FC8">
        <w:rPr>
          <w:color w:val="000000"/>
        </w:rPr>
        <w:t>on-coal fueled EGU boiler</w:t>
      </w:r>
      <w:r w:rsidR="002004D0">
        <w:rPr>
          <w:color w:val="000000"/>
        </w:rPr>
        <w:t>s</w:t>
      </w:r>
      <w:r w:rsidR="00520FC8" w:rsidRPr="00520FC8">
        <w:rPr>
          <w:color w:val="000000"/>
        </w:rPr>
        <w:t xml:space="preserve"> identified in the AMPD as incorporating SNCR </w:t>
      </w:r>
      <w:r w:rsidR="002F6038">
        <w:rPr>
          <w:color w:val="000000"/>
        </w:rPr>
        <w:t>with</w:t>
      </w:r>
    </w:p>
    <w:p w:rsidR="004C08AE" w:rsidRDefault="002F6038" w:rsidP="00256810">
      <w:pPr>
        <w:ind w:left="630"/>
        <w:rPr>
          <w:color w:val="000000"/>
        </w:rPr>
      </w:pPr>
      <w:proofErr w:type="gramStart"/>
      <w:r>
        <w:rPr>
          <w:color w:val="000000"/>
        </w:rPr>
        <w:t>a</w:t>
      </w:r>
      <w:proofErr w:type="gramEnd"/>
      <w:r w:rsidR="00520FC8" w:rsidRPr="00520FC8">
        <w:rPr>
          <w:color w:val="000000"/>
        </w:rPr>
        <w:t xml:space="preserve"> 2011 ozone season heat input capacity factor less than 40%</w:t>
      </w:r>
      <w:r w:rsidR="002004D0">
        <w:rPr>
          <w:color w:val="000000"/>
        </w:rPr>
        <w:t xml:space="preserve"> of the total capacity</w:t>
      </w:r>
      <w:r w:rsidR="00520FC8" w:rsidRPr="00520FC8">
        <w:rPr>
          <w:color w:val="000000"/>
        </w:rPr>
        <w:t>,</w:t>
      </w:r>
      <w:r w:rsidR="00F13E0B">
        <w:rPr>
          <w:color w:val="000000"/>
        </w:rPr>
        <w:t xml:space="preserve"> </w:t>
      </w:r>
      <w:r w:rsidR="00520FC8" w:rsidRPr="00520FC8">
        <w:rPr>
          <w:color w:val="000000"/>
        </w:rPr>
        <w:t xml:space="preserve">the estimated ozone season NOx emissions rate was the lowest demonstrated ozone season NOx emissions rate </w:t>
      </w:r>
      <w:r w:rsidR="006C6685">
        <w:rPr>
          <w:color w:val="000000"/>
        </w:rPr>
        <w:t>between the</w:t>
      </w:r>
      <w:r w:rsidR="00520FC8" w:rsidRPr="00520FC8">
        <w:rPr>
          <w:color w:val="000000"/>
        </w:rPr>
        <w:t xml:space="preserve"> years 2003 </w:t>
      </w:r>
      <w:r w:rsidR="006C6685">
        <w:rPr>
          <w:color w:val="000000"/>
        </w:rPr>
        <w:t>and</w:t>
      </w:r>
      <w:r w:rsidR="006C6685" w:rsidRPr="00520FC8">
        <w:rPr>
          <w:color w:val="000000"/>
        </w:rPr>
        <w:t xml:space="preserve"> </w:t>
      </w:r>
      <w:r w:rsidR="00520FC8" w:rsidRPr="00520FC8">
        <w:rPr>
          <w:color w:val="000000"/>
        </w:rPr>
        <w:t>2012</w:t>
      </w:r>
      <w:r w:rsidR="004C08AE">
        <w:rPr>
          <w:color w:val="000000"/>
        </w:rPr>
        <w:t>.</w:t>
      </w:r>
    </w:p>
    <w:p w:rsidR="004C08AE" w:rsidRDefault="004C08AE" w:rsidP="004C08AE">
      <w:pPr>
        <w:rPr>
          <w:color w:val="000000"/>
        </w:rPr>
      </w:pPr>
    </w:p>
    <w:p w:rsidR="009E042B" w:rsidRDefault="00F13E0B" w:rsidP="009E042B">
      <w:pPr>
        <w:numPr>
          <w:ilvl w:val="0"/>
          <w:numId w:val="10"/>
        </w:numPr>
        <w:autoSpaceDE w:val="0"/>
        <w:autoSpaceDN w:val="0"/>
        <w:adjustRightInd w:val="0"/>
        <w:rPr>
          <w:color w:val="000000"/>
        </w:rPr>
      </w:pPr>
      <w:r w:rsidRPr="00712702">
        <w:t xml:space="preserve">Non-coal fueled EGU boilers identified in the AMPD as incorporating </w:t>
      </w:r>
      <w:r w:rsidR="00AF73D3" w:rsidRPr="00712702">
        <w:t>SNCR</w:t>
      </w:r>
      <w:r w:rsidR="009E042B" w:rsidRPr="00712702">
        <w:t xml:space="preserve">, with </w:t>
      </w:r>
      <w:r w:rsidR="00256810" w:rsidRPr="00712702">
        <w:t xml:space="preserve">a </w:t>
      </w:r>
      <w:r w:rsidR="009E042B" w:rsidRPr="00712702">
        <w:t>2011 ozone heat input capacity factor 40% or greater of the total capacity, installation of SCR was assumed.  The NOx emission rate was estimated a</w:t>
      </w:r>
      <w:r w:rsidR="006C6685" w:rsidRPr="00712702">
        <w:t>t</w:t>
      </w:r>
      <w:r w:rsidR="00114C47" w:rsidRPr="00712702">
        <w:t xml:space="preserve"> </w:t>
      </w:r>
      <w:r w:rsidR="009E042B" w:rsidRPr="00712702">
        <w:t xml:space="preserve">70% of the lowest demonstrated ozone season NOx emissions rate </w:t>
      </w:r>
      <w:r w:rsidR="006C6685" w:rsidRPr="00712702">
        <w:t>between the years</w:t>
      </w:r>
      <w:r w:rsidR="009E042B" w:rsidRPr="00712702">
        <w:t xml:space="preserve"> 2003 </w:t>
      </w:r>
      <w:r w:rsidR="006C6685" w:rsidRPr="00712702">
        <w:t>and</w:t>
      </w:r>
      <w:r w:rsidR="009E042B" w:rsidRPr="00712702">
        <w:t xml:space="preserve"> 2012</w:t>
      </w:r>
      <w:r w:rsidR="009E042B">
        <w:rPr>
          <w:color w:val="000000"/>
        </w:rPr>
        <w:t>.  The floor NOx emission rate for this estimation was 0.06 lb/MMBTU.</w:t>
      </w:r>
    </w:p>
    <w:p w:rsidR="009E042B" w:rsidRDefault="009E042B" w:rsidP="00F13E0B">
      <w:pPr>
        <w:rPr>
          <w:rFonts w:ascii="TimesNewRomanPSMT" w:hAnsi="TimesNewRomanPSMT" w:cs="TimesNewRomanPSMT"/>
          <w:color w:val="000000"/>
          <w:sz w:val="19"/>
          <w:szCs w:val="19"/>
        </w:rPr>
      </w:pPr>
    </w:p>
    <w:p w:rsidR="003C0342" w:rsidRDefault="009E042B" w:rsidP="00256810">
      <w:pPr>
        <w:ind w:left="720" w:hanging="360"/>
        <w:rPr>
          <w:color w:val="000000"/>
        </w:rPr>
      </w:pPr>
      <w:r>
        <w:rPr>
          <w:rFonts w:ascii="TimesNewRomanPSMT" w:hAnsi="TimesNewRomanPSMT" w:cs="TimesNewRomanPSMT"/>
          <w:color w:val="000000"/>
          <w:sz w:val="19"/>
          <w:szCs w:val="19"/>
        </w:rPr>
        <w:t xml:space="preserve">4)   </w:t>
      </w:r>
      <w:r w:rsidR="00EF2EF3">
        <w:rPr>
          <w:color w:val="000000"/>
        </w:rPr>
        <w:t>N</w:t>
      </w:r>
      <w:r w:rsidR="00520FC8" w:rsidRPr="00520FC8">
        <w:rPr>
          <w:color w:val="000000"/>
        </w:rPr>
        <w:t>on-coal fueled EGU boiler</w:t>
      </w:r>
      <w:r w:rsidR="002004D0">
        <w:rPr>
          <w:color w:val="000000"/>
        </w:rPr>
        <w:t>s</w:t>
      </w:r>
      <w:r w:rsidR="00EF2EF3">
        <w:rPr>
          <w:color w:val="000000"/>
        </w:rPr>
        <w:t xml:space="preserve"> </w:t>
      </w:r>
      <w:r w:rsidR="00520FC8" w:rsidRPr="00520FC8">
        <w:rPr>
          <w:color w:val="000000"/>
        </w:rPr>
        <w:t>identified in the AMPD as</w:t>
      </w:r>
      <w:r>
        <w:rPr>
          <w:color w:val="000000"/>
        </w:rPr>
        <w:t xml:space="preserve"> incorporating</w:t>
      </w:r>
      <w:r w:rsidR="00256810">
        <w:rPr>
          <w:color w:val="000000"/>
        </w:rPr>
        <w:t xml:space="preserve"> neither </w:t>
      </w:r>
      <w:r>
        <w:rPr>
          <w:color w:val="000000"/>
        </w:rPr>
        <w:t xml:space="preserve"> </w:t>
      </w:r>
      <w:r w:rsidR="00256810">
        <w:rPr>
          <w:color w:val="000000"/>
        </w:rPr>
        <w:t xml:space="preserve">   </w:t>
      </w:r>
      <w:r>
        <w:rPr>
          <w:color w:val="000000"/>
        </w:rPr>
        <w:t xml:space="preserve">SCR </w:t>
      </w:r>
      <w:r w:rsidR="00256810">
        <w:rPr>
          <w:color w:val="000000"/>
        </w:rPr>
        <w:t>n</w:t>
      </w:r>
      <w:r>
        <w:rPr>
          <w:color w:val="000000"/>
        </w:rPr>
        <w:t>or</w:t>
      </w:r>
      <w:r w:rsidR="00027C16">
        <w:rPr>
          <w:color w:val="000000"/>
        </w:rPr>
        <w:t xml:space="preserve">  </w:t>
      </w:r>
      <w:r>
        <w:rPr>
          <w:color w:val="000000"/>
        </w:rPr>
        <w:t xml:space="preserve">SNCR, </w:t>
      </w:r>
      <w:r w:rsidR="00256810">
        <w:rPr>
          <w:color w:val="000000"/>
        </w:rPr>
        <w:t xml:space="preserve"> with a </w:t>
      </w:r>
      <w:r>
        <w:rPr>
          <w:color w:val="000000"/>
        </w:rPr>
        <w:t xml:space="preserve"> lowest demonstrated emissions </w:t>
      </w:r>
      <w:r w:rsidR="00114C47">
        <w:rPr>
          <w:color w:val="000000"/>
        </w:rPr>
        <w:t>rate between</w:t>
      </w:r>
      <w:r>
        <w:rPr>
          <w:color w:val="000000"/>
        </w:rPr>
        <w:t xml:space="preserve"> the</w:t>
      </w:r>
      <w:r w:rsidR="00F13E0B">
        <w:rPr>
          <w:color w:val="000000"/>
        </w:rPr>
        <w:t xml:space="preserve"> </w:t>
      </w:r>
      <w:r w:rsidR="00520FC8" w:rsidRPr="00520FC8">
        <w:rPr>
          <w:color w:val="000000"/>
        </w:rPr>
        <w:t>years 2003</w:t>
      </w:r>
      <w:r w:rsidR="00027C16">
        <w:rPr>
          <w:color w:val="000000"/>
        </w:rPr>
        <w:t xml:space="preserve">  </w:t>
      </w:r>
      <w:r w:rsidR="006C6685">
        <w:rPr>
          <w:color w:val="000000"/>
        </w:rPr>
        <w:t>and</w:t>
      </w:r>
      <w:r w:rsidR="006C6685" w:rsidRPr="00520FC8">
        <w:rPr>
          <w:color w:val="000000"/>
        </w:rPr>
        <w:t xml:space="preserve"> </w:t>
      </w:r>
      <w:r w:rsidR="00520FC8" w:rsidRPr="00520FC8">
        <w:rPr>
          <w:color w:val="000000"/>
        </w:rPr>
        <w:t>2012 greater than 0.1 lb/MMBTU</w:t>
      </w:r>
      <w:r w:rsidR="00256810">
        <w:rPr>
          <w:color w:val="000000"/>
        </w:rPr>
        <w:t xml:space="preserve"> </w:t>
      </w:r>
      <w:r w:rsidR="00520FC8" w:rsidRPr="00520FC8">
        <w:rPr>
          <w:color w:val="000000"/>
        </w:rPr>
        <w:t>and the 2011 ozone season heat input</w:t>
      </w:r>
      <w:r w:rsidR="003C0342">
        <w:rPr>
          <w:color w:val="000000"/>
        </w:rPr>
        <w:t xml:space="preserve">  </w:t>
      </w:r>
      <w:r w:rsidR="00520FC8" w:rsidRPr="00520FC8">
        <w:rPr>
          <w:color w:val="000000"/>
        </w:rPr>
        <w:t>capacity factor 40% or greater</w:t>
      </w:r>
      <w:r w:rsidR="002004D0">
        <w:rPr>
          <w:color w:val="000000"/>
        </w:rPr>
        <w:t xml:space="preserve"> of the total capacity</w:t>
      </w:r>
      <w:r w:rsidR="00520FC8" w:rsidRPr="00520FC8">
        <w:rPr>
          <w:color w:val="000000"/>
        </w:rPr>
        <w:t>, installation of SCR was</w:t>
      </w:r>
      <w:r w:rsidR="003C0342">
        <w:rPr>
          <w:color w:val="000000"/>
        </w:rPr>
        <w:t xml:space="preserve">      </w:t>
      </w:r>
      <w:r w:rsidR="00520FC8" w:rsidRPr="00520FC8">
        <w:rPr>
          <w:color w:val="000000"/>
        </w:rPr>
        <w:t>assumed. The NOx emissions rate was estimated as 20% of the lowest</w:t>
      </w:r>
    </w:p>
    <w:p w:rsidR="00895694" w:rsidRDefault="00520FC8" w:rsidP="00256810">
      <w:pPr>
        <w:ind w:left="720"/>
        <w:rPr>
          <w:color w:val="000000"/>
        </w:rPr>
      </w:pPr>
      <w:proofErr w:type="gramStart"/>
      <w:r w:rsidRPr="00520FC8">
        <w:rPr>
          <w:color w:val="000000"/>
        </w:rPr>
        <w:t>demonstrated</w:t>
      </w:r>
      <w:proofErr w:type="gramEnd"/>
      <w:r w:rsidRPr="00520FC8">
        <w:rPr>
          <w:color w:val="000000"/>
        </w:rPr>
        <w:t xml:space="preserve"> ozone season average NOx emissions rate </w:t>
      </w:r>
      <w:r w:rsidR="006C6685">
        <w:rPr>
          <w:color w:val="000000"/>
        </w:rPr>
        <w:t xml:space="preserve">between </w:t>
      </w:r>
      <w:r w:rsidRPr="00520FC8">
        <w:rPr>
          <w:color w:val="000000"/>
        </w:rPr>
        <w:t>the</w:t>
      </w:r>
      <w:r w:rsidR="00114C47">
        <w:rPr>
          <w:color w:val="000000"/>
        </w:rPr>
        <w:t xml:space="preserve"> </w:t>
      </w:r>
      <w:r w:rsidRPr="00520FC8">
        <w:rPr>
          <w:color w:val="000000"/>
        </w:rPr>
        <w:t xml:space="preserve">years 2003 </w:t>
      </w:r>
      <w:r w:rsidR="006C6685">
        <w:rPr>
          <w:color w:val="000000"/>
        </w:rPr>
        <w:t>and</w:t>
      </w:r>
      <w:r w:rsidR="006C6685" w:rsidRPr="00520FC8">
        <w:rPr>
          <w:color w:val="000000"/>
        </w:rPr>
        <w:t xml:space="preserve"> </w:t>
      </w:r>
      <w:r w:rsidRPr="00520FC8">
        <w:rPr>
          <w:color w:val="000000"/>
        </w:rPr>
        <w:t>2012.  The floor NOx emissions rate for thi</w:t>
      </w:r>
      <w:r w:rsidR="003C0342">
        <w:rPr>
          <w:color w:val="000000"/>
        </w:rPr>
        <w:t xml:space="preserve">s </w:t>
      </w:r>
      <w:r w:rsidRPr="00520FC8">
        <w:rPr>
          <w:color w:val="000000"/>
        </w:rPr>
        <w:t>estimation was 0.06 lb/MMBTU.</w:t>
      </w:r>
    </w:p>
    <w:p w:rsidR="00520FC8" w:rsidRPr="00520FC8" w:rsidRDefault="00520FC8" w:rsidP="006C6685">
      <w:pPr>
        <w:ind w:left="765" w:hanging="360"/>
      </w:pPr>
      <w:r w:rsidRPr="00520FC8">
        <w:rPr>
          <w:color w:val="000000"/>
        </w:rPr>
        <w:t xml:space="preserve"> </w:t>
      </w:r>
    </w:p>
    <w:p w:rsidR="00520FC8" w:rsidRDefault="003C0342" w:rsidP="00520FC8">
      <w:pPr>
        <w:ind w:left="765" w:hanging="360"/>
        <w:rPr>
          <w:color w:val="000000"/>
        </w:rPr>
      </w:pPr>
      <w:r>
        <w:rPr>
          <w:color w:val="000000"/>
        </w:rPr>
        <w:t>5</w:t>
      </w:r>
      <w:r w:rsidR="00520FC8" w:rsidRPr="00520FC8">
        <w:rPr>
          <w:color w:val="000000"/>
        </w:rPr>
        <w:t>)   </w:t>
      </w:r>
      <w:r w:rsidR="00F55C48">
        <w:rPr>
          <w:color w:val="000000"/>
        </w:rPr>
        <w:t>N</w:t>
      </w:r>
      <w:r w:rsidR="002004D0">
        <w:rPr>
          <w:color w:val="000000"/>
        </w:rPr>
        <w:t>on-</w:t>
      </w:r>
      <w:r w:rsidR="00520FC8" w:rsidRPr="00520FC8">
        <w:rPr>
          <w:color w:val="000000"/>
        </w:rPr>
        <w:t>coal-fueled EGU</w:t>
      </w:r>
      <w:r w:rsidR="004F66FF">
        <w:rPr>
          <w:color w:val="000000"/>
        </w:rPr>
        <w:t xml:space="preserve"> boilers</w:t>
      </w:r>
      <w:r w:rsidR="00520FC8" w:rsidRPr="00520FC8">
        <w:rPr>
          <w:color w:val="000000"/>
        </w:rPr>
        <w:t xml:space="preserve"> identified in the AMPD as incorporating</w:t>
      </w:r>
      <w:r w:rsidR="00256810">
        <w:rPr>
          <w:color w:val="000000"/>
        </w:rPr>
        <w:t xml:space="preserve"> neither </w:t>
      </w:r>
      <w:r w:rsidR="00520FC8" w:rsidRPr="00520FC8">
        <w:rPr>
          <w:color w:val="000000"/>
        </w:rPr>
        <w:t xml:space="preserve"> SCR </w:t>
      </w:r>
      <w:r w:rsidR="00256810">
        <w:rPr>
          <w:color w:val="000000"/>
        </w:rPr>
        <w:t>n</w:t>
      </w:r>
      <w:r w:rsidR="00520FC8" w:rsidRPr="00520FC8">
        <w:rPr>
          <w:color w:val="000000"/>
        </w:rPr>
        <w:t>or SNCR,</w:t>
      </w:r>
      <w:r w:rsidR="002004D0">
        <w:rPr>
          <w:color w:val="000000"/>
        </w:rPr>
        <w:t xml:space="preserve"> </w:t>
      </w:r>
      <w:r w:rsidR="00256810">
        <w:rPr>
          <w:color w:val="000000"/>
        </w:rPr>
        <w:t xml:space="preserve">with a </w:t>
      </w:r>
      <w:r w:rsidR="00520FC8" w:rsidRPr="00520FC8">
        <w:rPr>
          <w:color w:val="000000"/>
        </w:rPr>
        <w:t xml:space="preserve"> lowest demonstrated ozone season NOx emissions rate </w:t>
      </w:r>
      <w:r w:rsidR="006C6685">
        <w:rPr>
          <w:color w:val="000000"/>
        </w:rPr>
        <w:t>between the</w:t>
      </w:r>
      <w:r w:rsidR="00520FC8" w:rsidRPr="00520FC8">
        <w:rPr>
          <w:color w:val="000000"/>
        </w:rPr>
        <w:t xml:space="preserve"> years 2003 </w:t>
      </w:r>
      <w:r w:rsidR="006C6685">
        <w:rPr>
          <w:color w:val="000000"/>
        </w:rPr>
        <w:t>and</w:t>
      </w:r>
      <w:r w:rsidR="006C6685" w:rsidRPr="00520FC8">
        <w:rPr>
          <w:color w:val="000000"/>
        </w:rPr>
        <w:t xml:space="preserve"> </w:t>
      </w:r>
      <w:r w:rsidR="00520FC8" w:rsidRPr="00520FC8">
        <w:rPr>
          <w:color w:val="000000"/>
        </w:rPr>
        <w:t xml:space="preserve">2012 greater than 0.06 lb/MMBTU and the 2011 </w:t>
      </w:r>
      <w:r w:rsidR="00520FC8" w:rsidRPr="00520FC8">
        <w:rPr>
          <w:color w:val="000000"/>
        </w:rPr>
        <w:lastRenderedPageBreak/>
        <w:t>ozone season heat input capacity factor was less than 40%</w:t>
      </w:r>
      <w:r w:rsidR="002004D0">
        <w:rPr>
          <w:color w:val="000000"/>
        </w:rPr>
        <w:t xml:space="preserve"> of the total capacity</w:t>
      </w:r>
      <w:r w:rsidR="00520FC8" w:rsidRPr="00520FC8">
        <w:rPr>
          <w:color w:val="000000"/>
        </w:rPr>
        <w:t xml:space="preserve">, installation of SNCR was assumed. The NOx emissions rate was estimated as 50% of the lowest demonstrated ozone season average NOx emissions rate </w:t>
      </w:r>
      <w:r w:rsidR="006C6685">
        <w:rPr>
          <w:color w:val="000000"/>
        </w:rPr>
        <w:t xml:space="preserve">between the </w:t>
      </w:r>
      <w:r w:rsidR="00520FC8" w:rsidRPr="00520FC8">
        <w:rPr>
          <w:color w:val="000000"/>
        </w:rPr>
        <w:t xml:space="preserve">years 2003 </w:t>
      </w:r>
      <w:r w:rsidR="006C6685">
        <w:rPr>
          <w:color w:val="000000"/>
        </w:rPr>
        <w:t>and</w:t>
      </w:r>
      <w:r w:rsidR="006C6685" w:rsidRPr="00520FC8">
        <w:rPr>
          <w:color w:val="000000"/>
        </w:rPr>
        <w:t xml:space="preserve"> </w:t>
      </w:r>
      <w:r w:rsidR="00520FC8" w:rsidRPr="00520FC8">
        <w:rPr>
          <w:color w:val="000000"/>
        </w:rPr>
        <w:t>2012.  The floor NOx emissions rate for this estimation was 0.06 lb/MMBTU.</w:t>
      </w:r>
    </w:p>
    <w:p w:rsidR="003C0342" w:rsidRPr="00520FC8" w:rsidRDefault="003C0342" w:rsidP="00520FC8">
      <w:pPr>
        <w:ind w:left="765" w:hanging="360"/>
      </w:pPr>
    </w:p>
    <w:p w:rsidR="003C0342" w:rsidRDefault="003C0342" w:rsidP="003C0342">
      <w:pPr>
        <w:autoSpaceDE w:val="0"/>
        <w:autoSpaceDN w:val="0"/>
        <w:adjustRightInd w:val="0"/>
        <w:rPr>
          <w:rFonts w:cs="TimesNewRomanPSMT"/>
        </w:rPr>
      </w:pPr>
      <w:r w:rsidRPr="003C0342">
        <w:rPr>
          <w:rFonts w:cs="TimesNewRomanPSMT"/>
        </w:rPr>
        <w:t>Non-coal-fueled EGUs with a heat input rating of less than 1000 MMBTU/hr:</w:t>
      </w:r>
    </w:p>
    <w:p w:rsidR="00E959D9" w:rsidRPr="003C0342" w:rsidRDefault="00E959D9" w:rsidP="003C0342">
      <w:pPr>
        <w:autoSpaceDE w:val="0"/>
        <w:autoSpaceDN w:val="0"/>
        <w:adjustRightInd w:val="0"/>
        <w:rPr>
          <w:rFonts w:cs="TimesNewRomanPSMT"/>
        </w:rPr>
      </w:pPr>
    </w:p>
    <w:p w:rsidR="003C0342" w:rsidRDefault="003C0342" w:rsidP="003C0342">
      <w:pPr>
        <w:numPr>
          <w:ilvl w:val="0"/>
          <w:numId w:val="24"/>
        </w:numPr>
        <w:autoSpaceDE w:val="0"/>
        <w:autoSpaceDN w:val="0"/>
        <w:adjustRightInd w:val="0"/>
        <w:rPr>
          <w:rFonts w:cs="TimesNewRomanPSMT"/>
        </w:rPr>
      </w:pPr>
      <w:r w:rsidRPr="003C0342">
        <w:rPr>
          <w:rFonts w:cs="TimesNewRomanPSMT"/>
        </w:rPr>
        <w:t>Non-coal fueled EGU boilers identified in the AMPD as incorporating SCR or</w:t>
      </w:r>
    </w:p>
    <w:p w:rsidR="003C0342" w:rsidRDefault="003C0342" w:rsidP="001D1C4A">
      <w:pPr>
        <w:autoSpaceDE w:val="0"/>
        <w:autoSpaceDN w:val="0"/>
        <w:adjustRightInd w:val="0"/>
        <w:ind w:left="720"/>
        <w:rPr>
          <w:rFonts w:cs="TimesNewRomanPSMT"/>
        </w:rPr>
      </w:pPr>
      <w:r>
        <w:rPr>
          <w:rFonts w:cs="TimesNewRomanPSMT"/>
        </w:rPr>
        <w:t xml:space="preserve"> </w:t>
      </w:r>
      <w:r w:rsidRPr="003C0342">
        <w:rPr>
          <w:rFonts w:cs="TimesNewRomanPSMT"/>
        </w:rPr>
        <w:t xml:space="preserve">SNCR, the </w:t>
      </w:r>
      <w:r w:rsidR="001D1C4A">
        <w:rPr>
          <w:rFonts w:cs="TimesNewRomanPSMT"/>
        </w:rPr>
        <w:t xml:space="preserve">estimated </w:t>
      </w:r>
      <w:r w:rsidRPr="003C0342">
        <w:rPr>
          <w:rFonts w:cs="TimesNewRomanPSMT"/>
        </w:rPr>
        <w:t>NOx emission rate was the lowest</w:t>
      </w:r>
      <w:r>
        <w:rPr>
          <w:rFonts w:cs="TimesNewRomanPSMT"/>
        </w:rPr>
        <w:t xml:space="preserve"> </w:t>
      </w:r>
      <w:r w:rsidRPr="003C0342">
        <w:rPr>
          <w:rFonts w:cs="TimesNewRomanPSMT"/>
        </w:rPr>
        <w:t>demonstrated ozone season NOx emissions</w:t>
      </w:r>
      <w:r>
        <w:rPr>
          <w:rFonts w:cs="TimesNewRomanPSMT"/>
        </w:rPr>
        <w:t xml:space="preserve"> rate </w:t>
      </w:r>
      <w:r w:rsidR="006C6685">
        <w:rPr>
          <w:rFonts w:cs="TimesNewRomanPSMT"/>
        </w:rPr>
        <w:t>between the</w:t>
      </w:r>
      <w:r>
        <w:rPr>
          <w:rFonts w:cs="TimesNewRomanPSMT"/>
        </w:rPr>
        <w:t xml:space="preserve"> years </w:t>
      </w:r>
      <w:r w:rsidR="001D1C4A">
        <w:rPr>
          <w:rFonts w:cs="TimesNewRomanPSMT"/>
        </w:rPr>
        <w:t>2003 and</w:t>
      </w:r>
      <w:r w:rsidRPr="003C0342">
        <w:rPr>
          <w:rFonts w:cs="TimesNewRomanPSMT"/>
        </w:rPr>
        <w:t xml:space="preserve"> 2012.</w:t>
      </w:r>
    </w:p>
    <w:p w:rsidR="003C0342" w:rsidRDefault="003C0342" w:rsidP="003C0342">
      <w:pPr>
        <w:autoSpaceDE w:val="0"/>
        <w:autoSpaceDN w:val="0"/>
        <w:adjustRightInd w:val="0"/>
        <w:ind w:left="360"/>
        <w:rPr>
          <w:rFonts w:cs="TimesNewRomanPSMT"/>
        </w:rPr>
      </w:pPr>
    </w:p>
    <w:p w:rsidR="00E959D9" w:rsidRPr="00541E07" w:rsidRDefault="003C0342" w:rsidP="00541E07">
      <w:pPr>
        <w:numPr>
          <w:ilvl w:val="0"/>
          <w:numId w:val="24"/>
        </w:numPr>
        <w:autoSpaceDE w:val="0"/>
        <w:autoSpaceDN w:val="0"/>
        <w:adjustRightInd w:val="0"/>
        <w:ind w:left="720" w:hanging="360"/>
        <w:rPr>
          <w:rFonts w:cs="TimesNewRomanPSMT"/>
        </w:rPr>
      </w:pPr>
      <w:r w:rsidRPr="003C0342">
        <w:rPr>
          <w:rFonts w:cs="TimesNewRomanPSMT"/>
        </w:rPr>
        <w:t xml:space="preserve">Non-coal fueled EGU boilers identified in the AMPD </w:t>
      </w:r>
      <w:r w:rsidR="001D1C4A">
        <w:rPr>
          <w:rFonts w:cs="TimesNewRomanPSMT"/>
        </w:rPr>
        <w:t xml:space="preserve">as incorporating neither SCR nor SNCR with a </w:t>
      </w:r>
      <w:r w:rsidRPr="001D1C4A">
        <w:rPr>
          <w:rFonts w:cs="TimesNewRomanPSMT"/>
        </w:rPr>
        <w:t xml:space="preserve"> lowest demonstrated ozone season     NOx emissions rate </w:t>
      </w:r>
      <w:r w:rsidR="006C6685" w:rsidRPr="001D1C4A">
        <w:rPr>
          <w:rFonts w:cs="TimesNewRomanPSMT"/>
        </w:rPr>
        <w:t>between the</w:t>
      </w:r>
      <w:r w:rsidRPr="001D1C4A">
        <w:rPr>
          <w:rFonts w:cs="TimesNewRomanPSMT"/>
        </w:rPr>
        <w:t xml:space="preserve"> years 2003 </w:t>
      </w:r>
      <w:r w:rsidR="006C6685" w:rsidRPr="001D1C4A">
        <w:rPr>
          <w:rFonts w:cs="TimesNewRomanPSMT"/>
        </w:rPr>
        <w:t xml:space="preserve">and </w:t>
      </w:r>
      <w:r w:rsidRPr="001D1C4A">
        <w:rPr>
          <w:rFonts w:cs="TimesNewRomanPSMT"/>
        </w:rPr>
        <w:t xml:space="preserve">2012  greater than 0.1 lb/MMBTU installation of SNCR was assumed. The NOx emissions rate was estimated as 60% of the lowest demonstrated ozone season average NOx emissions rate </w:t>
      </w:r>
      <w:r w:rsidR="006C6685" w:rsidRPr="001D1C4A">
        <w:rPr>
          <w:rFonts w:cs="TimesNewRomanPSMT"/>
        </w:rPr>
        <w:t>between the</w:t>
      </w:r>
      <w:r w:rsidRPr="001D1C4A">
        <w:rPr>
          <w:rFonts w:cs="TimesNewRomanPSMT"/>
        </w:rPr>
        <w:t xml:space="preserve"> years 2003 </w:t>
      </w:r>
      <w:r w:rsidR="006C6685" w:rsidRPr="001D1C4A">
        <w:rPr>
          <w:rFonts w:cs="TimesNewRomanPSMT"/>
        </w:rPr>
        <w:t>and</w:t>
      </w:r>
      <w:r w:rsidRPr="001D1C4A">
        <w:rPr>
          <w:rFonts w:cs="TimesNewRomanPSMT"/>
        </w:rPr>
        <w:t xml:space="preserve"> 2012. The floor</w:t>
      </w:r>
      <w:r w:rsidRPr="00541E07">
        <w:rPr>
          <w:rFonts w:cs="TimesNewRomanPSMT"/>
        </w:rPr>
        <w:t xml:space="preserve"> NOx emissions rate for this estimation was 0.06 lb/MMBTU.</w:t>
      </w:r>
    </w:p>
    <w:p w:rsidR="003C3AB8" w:rsidRPr="00541E07" w:rsidRDefault="00520FC8" w:rsidP="00520FC8">
      <w:pPr>
        <w:rPr>
          <w:rFonts w:cs="TimesNewRomanPSMT"/>
          <w:b/>
        </w:rPr>
      </w:pPr>
      <w:r w:rsidRPr="00541E07">
        <w:rPr>
          <w:rFonts w:cs="TimesNewRomanPSMT"/>
        </w:rPr>
        <w:t> </w:t>
      </w:r>
    </w:p>
    <w:p w:rsidR="00520FC8" w:rsidRPr="004C6A60" w:rsidRDefault="00520FC8" w:rsidP="004C6A60">
      <w:pPr>
        <w:numPr>
          <w:ilvl w:val="0"/>
          <w:numId w:val="34"/>
        </w:numPr>
        <w:rPr>
          <w:rFonts w:cs="TimesNewRomanPSMT"/>
          <w:bCs/>
          <w:i/>
        </w:rPr>
      </w:pPr>
      <w:r w:rsidRPr="004C6A60">
        <w:rPr>
          <w:rFonts w:cs="TimesNewRomanPSMT"/>
          <w:bCs/>
          <w:i/>
        </w:rPr>
        <w:t xml:space="preserve">Combined Cycle (CC) and Combustion Turbine </w:t>
      </w:r>
      <w:r w:rsidR="002004D0" w:rsidRPr="004C6A60">
        <w:rPr>
          <w:rFonts w:cs="TimesNewRomanPSMT"/>
          <w:bCs/>
          <w:i/>
        </w:rPr>
        <w:t>(CT</w:t>
      </w:r>
      <w:r w:rsidR="009C564B" w:rsidRPr="004C6A60">
        <w:rPr>
          <w:rFonts w:cs="TimesNewRomanPSMT"/>
          <w:bCs/>
          <w:i/>
        </w:rPr>
        <w:t>) EGUs</w:t>
      </w:r>
      <w:r w:rsidR="00320C20" w:rsidRPr="004C6A60">
        <w:rPr>
          <w:rFonts w:cs="TimesNewRomanPSMT"/>
          <w:bCs/>
          <w:i/>
        </w:rPr>
        <w:t>:</w:t>
      </w:r>
    </w:p>
    <w:p w:rsidR="00895694" w:rsidRPr="00541E07" w:rsidRDefault="00895694" w:rsidP="00520FC8">
      <w:pPr>
        <w:rPr>
          <w:rFonts w:cs="TimesNewRomanPSMT"/>
        </w:rPr>
      </w:pPr>
    </w:p>
    <w:p w:rsidR="00895694" w:rsidRPr="00541E07" w:rsidRDefault="00520FC8" w:rsidP="00895694">
      <w:pPr>
        <w:numPr>
          <w:ilvl w:val="0"/>
          <w:numId w:val="11"/>
        </w:numPr>
        <w:rPr>
          <w:rFonts w:cs="TimesNewRomanPSMT"/>
        </w:rPr>
      </w:pPr>
      <w:r w:rsidRPr="00541E07">
        <w:rPr>
          <w:rFonts w:cs="TimesNewRomanPSMT"/>
          <w:color w:val="000000"/>
        </w:rPr>
        <w:t xml:space="preserve">If the CC or CT EGU’s lowest demonstrated ozone season NOx emissions rate </w:t>
      </w:r>
      <w:r w:rsidR="00320C20" w:rsidRPr="00541E07">
        <w:rPr>
          <w:rFonts w:cs="TimesNewRomanPSMT"/>
          <w:color w:val="000000"/>
        </w:rPr>
        <w:t xml:space="preserve">between the </w:t>
      </w:r>
      <w:r w:rsidRPr="00541E07">
        <w:rPr>
          <w:rFonts w:cs="TimesNewRomanPSMT"/>
          <w:color w:val="000000"/>
        </w:rPr>
        <w:t xml:space="preserve">years 2003 </w:t>
      </w:r>
      <w:r w:rsidR="00541E07">
        <w:rPr>
          <w:rFonts w:cs="TimesNewRomanPSMT"/>
          <w:color w:val="000000"/>
        </w:rPr>
        <w:t>and</w:t>
      </w:r>
      <w:r w:rsidR="00541E07" w:rsidRPr="00541E07">
        <w:rPr>
          <w:rFonts w:cs="TimesNewRomanPSMT"/>
          <w:color w:val="000000"/>
        </w:rPr>
        <w:t xml:space="preserve"> </w:t>
      </w:r>
      <w:r w:rsidRPr="00541E07">
        <w:rPr>
          <w:rFonts w:cs="TimesNewRomanPSMT"/>
          <w:color w:val="000000"/>
        </w:rPr>
        <w:t xml:space="preserve">2012 was less than 0.1 lb/MMBTU, </w:t>
      </w:r>
      <w:r w:rsidR="002004D0" w:rsidRPr="00541E07">
        <w:rPr>
          <w:rFonts w:cs="TimesNewRomanPSMT"/>
          <w:color w:val="000000"/>
        </w:rPr>
        <w:t>0.1 lb/MMBTU</w:t>
      </w:r>
      <w:r w:rsidR="002004D0" w:rsidRPr="00541E07" w:rsidDel="002004D0">
        <w:rPr>
          <w:rFonts w:cs="TimesNewRomanPSMT"/>
          <w:color w:val="000000"/>
        </w:rPr>
        <w:t xml:space="preserve"> </w:t>
      </w:r>
      <w:r w:rsidRPr="00541E07">
        <w:rPr>
          <w:rFonts w:cs="TimesNewRomanPSMT"/>
          <w:color w:val="000000"/>
        </w:rPr>
        <w:t>was  the estimated ozone season NOx emissions rate regardless of the NOx controls installation indicated in the AMPD.</w:t>
      </w:r>
    </w:p>
    <w:p w:rsidR="00895694" w:rsidRPr="00541E07" w:rsidRDefault="00895694" w:rsidP="00895694">
      <w:pPr>
        <w:ind w:left="405"/>
        <w:rPr>
          <w:rFonts w:cs="TimesNewRomanPSMT"/>
        </w:rPr>
      </w:pPr>
    </w:p>
    <w:p w:rsidR="00895694" w:rsidRPr="00541E07" w:rsidRDefault="00520FC8" w:rsidP="00895694">
      <w:pPr>
        <w:numPr>
          <w:ilvl w:val="0"/>
          <w:numId w:val="11"/>
        </w:numPr>
      </w:pPr>
      <w:r w:rsidRPr="00541E07">
        <w:rPr>
          <w:rFonts w:cs="TimesNewRomanPSMT"/>
        </w:rPr>
        <w:t>If the CC or CT EGU’s lowest demonstrated ozone season NOx emissi</w:t>
      </w:r>
      <w:r w:rsidRPr="00541E07">
        <w:t xml:space="preserve">ons rate </w:t>
      </w:r>
      <w:r w:rsidR="00320C20" w:rsidRPr="00541E07">
        <w:t>between the</w:t>
      </w:r>
      <w:r w:rsidRPr="00541E07">
        <w:t xml:space="preserve"> years 2003 </w:t>
      </w:r>
      <w:r w:rsidR="00320C20" w:rsidRPr="00541E07">
        <w:t xml:space="preserve">and </w:t>
      </w:r>
      <w:r w:rsidRPr="00541E07">
        <w:t xml:space="preserve">2012 was 0.1 lb/MMBTU or greater, and the EGU was identified in the AMPD as incorporating </w:t>
      </w:r>
      <w:r w:rsidR="002004D0" w:rsidRPr="00541E07">
        <w:t>Dry Low NOx Burner (</w:t>
      </w:r>
      <w:r w:rsidRPr="00541E07">
        <w:t>DLNB</w:t>
      </w:r>
      <w:r w:rsidR="002004D0" w:rsidRPr="00541E07">
        <w:t>)</w:t>
      </w:r>
      <w:r w:rsidRPr="00541E07">
        <w:t xml:space="preserve"> </w:t>
      </w:r>
      <w:r w:rsidR="00A27363" w:rsidRPr="00541E07">
        <w:t xml:space="preserve">or </w:t>
      </w:r>
      <w:r w:rsidRPr="00541E07">
        <w:t>water injection</w:t>
      </w:r>
      <w:r w:rsidR="00A27363" w:rsidRPr="00541E07">
        <w:t>,</w:t>
      </w:r>
      <w:r w:rsidRPr="00541E07">
        <w:t xml:space="preserve"> then the lowest demonstrated ozone season average NOx emissions rate </w:t>
      </w:r>
      <w:r w:rsidR="00320C20" w:rsidRPr="00541E07">
        <w:t>between the</w:t>
      </w:r>
      <w:r w:rsidRPr="00541E07">
        <w:t xml:space="preserve"> years 2003 </w:t>
      </w:r>
      <w:r w:rsidR="00320C20" w:rsidRPr="00541E07">
        <w:t xml:space="preserve">and </w:t>
      </w:r>
      <w:r w:rsidRPr="00541E07">
        <w:t xml:space="preserve">2012 </w:t>
      </w:r>
      <w:r w:rsidR="008B746F" w:rsidRPr="00541E07">
        <w:t>was the</w:t>
      </w:r>
      <w:r w:rsidRPr="00541E07">
        <w:t xml:space="preserve"> estimated ozone season NOx emissions rate. </w:t>
      </w:r>
    </w:p>
    <w:p w:rsidR="00895694" w:rsidRDefault="00895694" w:rsidP="00895694">
      <w:pPr>
        <w:rPr>
          <w:color w:val="000000"/>
        </w:rPr>
      </w:pPr>
    </w:p>
    <w:p w:rsidR="00520FC8" w:rsidRPr="00895694" w:rsidRDefault="00520FC8" w:rsidP="00895694">
      <w:pPr>
        <w:numPr>
          <w:ilvl w:val="0"/>
          <w:numId w:val="11"/>
        </w:numPr>
      </w:pPr>
      <w:r w:rsidRPr="00520FC8">
        <w:rPr>
          <w:color w:val="000000"/>
        </w:rPr>
        <w:t xml:space="preserve">If the CC or CT EGU’s lowest demonstrated ozone season NOx emissions rate </w:t>
      </w:r>
      <w:r w:rsidR="00320C20">
        <w:rPr>
          <w:color w:val="000000"/>
        </w:rPr>
        <w:t xml:space="preserve">between the </w:t>
      </w:r>
      <w:r w:rsidRPr="00520FC8">
        <w:rPr>
          <w:color w:val="000000"/>
        </w:rPr>
        <w:t xml:space="preserve">years 2003 </w:t>
      </w:r>
      <w:r w:rsidR="00320C20">
        <w:rPr>
          <w:color w:val="000000"/>
        </w:rPr>
        <w:t>and</w:t>
      </w:r>
      <w:r w:rsidR="00AF73D3">
        <w:rPr>
          <w:color w:val="000000"/>
        </w:rPr>
        <w:t xml:space="preserve"> </w:t>
      </w:r>
      <w:r w:rsidRPr="00520FC8">
        <w:rPr>
          <w:color w:val="000000"/>
        </w:rPr>
        <w:t>2012 was 0.1 lb/MMBTU</w:t>
      </w:r>
      <w:r w:rsidR="00541E07">
        <w:rPr>
          <w:color w:val="000000"/>
        </w:rPr>
        <w:t xml:space="preserve"> </w:t>
      </w:r>
      <w:r w:rsidRPr="00520FC8">
        <w:rPr>
          <w:color w:val="000000"/>
        </w:rPr>
        <w:t xml:space="preserve">or greater, and the EGU was not identified in the AMPD as incorporating </w:t>
      </w:r>
      <w:r w:rsidRPr="00541E07">
        <w:t xml:space="preserve">DLNB </w:t>
      </w:r>
      <w:r w:rsidR="000D69DF" w:rsidRPr="00541E07">
        <w:t>or</w:t>
      </w:r>
      <w:r w:rsidR="000D69DF">
        <w:rPr>
          <w:b/>
          <w:color w:val="FF0000"/>
        </w:rPr>
        <w:t xml:space="preserve"> </w:t>
      </w:r>
      <w:r w:rsidRPr="00520FC8">
        <w:rPr>
          <w:color w:val="000000"/>
        </w:rPr>
        <w:t xml:space="preserve">water injection, installation of water </w:t>
      </w:r>
      <w:r w:rsidR="00541E07" w:rsidRPr="00520FC8">
        <w:rPr>
          <w:color w:val="000000"/>
        </w:rPr>
        <w:t>injection was</w:t>
      </w:r>
      <w:r w:rsidRPr="00520FC8">
        <w:rPr>
          <w:color w:val="000000"/>
        </w:rPr>
        <w:t xml:space="preserve"> assumed.  The NOx emissions rate was </w:t>
      </w:r>
      <w:r w:rsidR="00541E07">
        <w:rPr>
          <w:color w:val="000000"/>
        </w:rPr>
        <w:t xml:space="preserve">estimated </w:t>
      </w:r>
      <w:r w:rsidR="00541E07" w:rsidRPr="00520FC8">
        <w:rPr>
          <w:color w:val="000000"/>
        </w:rPr>
        <w:t>as</w:t>
      </w:r>
      <w:r w:rsidRPr="00520FC8">
        <w:rPr>
          <w:color w:val="000000"/>
        </w:rPr>
        <w:t xml:space="preserve"> 60% of the lowest demonstrated ozone season average NOx emissions rate </w:t>
      </w:r>
      <w:r w:rsidR="00320C20">
        <w:rPr>
          <w:color w:val="000000"/>
        </w:rPr>
        <w:t>between the</w:t>
      </w:r>
      <w:r w:rsidRPr="00520FC8">
        <w:rPr>
          <w:color w:val="000000"/>
        </w:rPr>
        <w:t xml:space="preserve"> years 2003 </w:t>
      </w:r>
      <w:r w:rsidR="00320C20">
        <w:rPr>
          <w:color w:val="000000"/>
        </w:rPr>
        <w:t>and</w:t>
      </w:r>
      <w:r w:rsidRPr="00520FC8">
        <w:rPr>
          <w:color w:val="000000"/>
        </w:rPr>
        <w:t xml:space="preserve"> 2012.</w:t>
      </w:r>
    </w:p>
    <w:p w:rsidR="00895694" w:rsidRPr="00520FC8" w:rsidRDefault="00895694" w:rsidP="00895694"/>
    <w:p w:rsidR="00895694" w:rsidRDefault="00520FC8" w:rsidP="002004D0">
      <w:pPr>
        <w:tabs>
          <w:tab w:val="left" w:pos="0"/>
        </w:tabs>
        <w:rPr>
          <w:color w:val="000000"/>
        </w:rPr>
      </w:pPr>
      <w:r w:rsidRPr="00520FC8">
        <w:rPr>
          <w:color w:val="000000"/>
        </w:rPr>
        <w:t xml:space="preserve">For CC or CT EGU’s that appear to be utilizing default values and did not </w:t>
      </w:r>
      <w:r w:rsidR="002004D0" w:rsidRPr="00520FC8">
        <w:rPr>
          <w:color w:val="000000"/>
        </w:rPr>
        <w:t>indicate incorporation</w:t>
      </w:r>
      <w:r w:rsidRPr="00520FC8">
        <w:rPr>
          <w:color w:val="000000"/>
        </w:rPr>
        <w:t xml:space="preserve"> of DLNB, water injection, or SCR, the NOx emissions reductions from those units was estimated as follows:</w:t>
      </w:r>
    </w:p>
    <w:p w:rsidR="00520FC8" w:rsidRPr="00520FC8" w:rsidRDefault="00520FC8" w:rsidP="00520FC8">
      <w:pPr>
        <w:ind w:left="360" w:hanging="360"/>
      </w:pPr>
      <w:r w:rsidRPr="00520FC8">
        <w:rPr>
          <w:color w:val="000000"/>
        </w:rPr>
        <w:t xml:space="preserve">  </w:t>
      </w:r>
    </w:p>
    <w:p w:rsidR="00520FC8" w:rsidRDefault="00520FC8" w:rsidP="00520FC8">
      <w:pPr>
        <w:ind w:left="720" w:hanging="360"/>
        <w:rPr>
          <w:color w:val="000000"/>
        </w:rPr>
      </w:pPr>
      <w:r w:rsidRPr="00520FC8">
        <w:rPr>
          <w:color w:val="000000"/>
        </w:rPr>
        <w:t xml:space="preserve">1)   For </w:t>
      </w:r>
      <w:r w:rsidR="008B746F">
        <w:rPr>
          <w:color w:val="000000"/>
        </w:rPr>
        <w:t xml:space="preserve">a </w:t>
      </w:r>
      <w:r w:rsidRPr="00520FC8">
        <w:rPr>
          <w:color w:val="000000"/>
        </w:rPr>
        <w:t>CC or CT unit, a NOx emissions rate estimate was calculated using the non-default average NOx emission rates for CCs or CTs (as appropriate) using the same primary fuel type and same heat input classification.</w:t>
      </w:r>
    </w:p>
    <w:p w:rsidR="00895694" w:rsidRPr="00520FC8" w:rsidRDefault="00895694" w:rsidP="00520FC8">
      <w:pPr>
        <w:ind w:left="720" w:hanging="360"/>
      </w:pPr>
    </w:p>
    <w:p w:rsidR="00520FC8" w:rsidRDefault="00520FC8" w:rsidP="00520FC8">
      <w:pPr>
        <w:ind w:left="720" w:hanging="360"/>
        <w:rPr>
          <w:color w:val="000000"/>
        </w:rPr>
      </w:pPr>
      <w:r w:rsidRPr="00520FC8">
        <w:rPr>
          <w:color w:val="000000"/>
        </w:rPr>
        <w:lastRenderedPageBreak/>
        <w:t>2)   Using the AMPD reported 2011 heat input for that CC or CT EGU, the “actual” NOx mass emissions was calculated by multiplying the heat input with the above estimated NOx emissions rate.</w:t>
      </w:r>
    </w:p>
    <w:p w:rsidR="00895694" w:rsidRPr="00520FC8" w:rsidRDefault="00895694" w:rsidP="00520FC8">
      <w:pPr>
        <w:ind w:left="720" w:hanging="360"/>
      </w:pPr>
    </w:p>
    <w:p w:rsidR="00520FC8" w:rsidRPr="00520FC8" w:rsidRDefault="00520FC8" w:rsidP="00520FC8">
      <w:pPr>
        <w:ind w:left="720" w:hanging="360"/>
      </w:pPr>
      <w:r w:rsidRPr="00520FC8">
        <w:rPr>
          <w:color w:val="000000"/>
        </w:rPr>
        <w:t>3)   Assuming installation of water injection and a resulting 40% reduction in NOx emissions rate, the reduction of NOx mass emissions is estimated as 40% of the “actual” NOx mass emissions</w:t>
      </w:r>
      <w:r w:rsidR="00B22178">
        <w:rPr>
          <w:color w:val="000000"/>
        </w:rPr>
        <w:t>.</w:t>
      </w:r>
    </w:p>
    <w:p w:rsidR="00701271" w:rsidRPr="003A35C4" w:rsidRDefault="00701271" w:rsidP="00701271">
      <w:pPr>
        <w:rPr>
          <w:rFonts w:ascii="Calibri" w:hAnsi="Calibri"/>
          <w:sz w:val="22"/>
          <w:szCs w:val="22"/>
        </w:rPr>
      </w:pPr>
      <w:r w:rsidRPr="003A35C4">
        <w:rPr>
          <w:rFonts w:ascii="Calibri" w:hAnsi="Calibri"/>
          <w:sz w:val="22"/>
          <w:szCs w:val="22"/>
        </w:rPr>
        <w:t> </w:t>
      </w:r>
    </w:p>
    <w:p w:rsidR="001C201E" w:rsidRDefault="00B22178" w:rsidP="00701271">
      <w:r>
        <w:t xml:space="preserve">As </w:t>
      </w:r>
      <w:r w:rsidR="002B221D" w:rsidRPr="003A35C4">
        <w:t xml:space="preserve">the above estimates are </w:t>
      </w:r>
      <w:r w:rsidR="00701271" w:rsidRPr="003A35C4">
        <w:t xml:space="preserve">made on a unit-specific basis, NOx mass caps </w:t>
      </w:r>
      <w:r w:rsidR="009C564B" w:rsidRPr="003A35C4">
        <w:t>could be</w:t>
      </w:r>
      <w:r w:rsidR="00701271" w:rsidRPr="003A35C4">
        <w:t xml:space="preserve"> calculated </w:t>
      </w:r>
      <w:r>
        <w:t>on</w:t>
      </w:r>
      <w:r w:rsidR="00701271" w:rsidRPr="003A35C4">
        <w:t xml:space="preserve"> </w:t>
      </w:r>
      <w:r>
        <w:t xml:space="preserve">a </w:t>
      </w:r>
      <w:r w:rsidR="00701271" w:rsidRPr="003A35C4">
        <w:t>regional basis (state specific, CAIR re</w:t>
      </w:r>
      <w:r w:rsidR="002B221D" w:rsidRPr="003A35C4">
        <w:t>gion, etc).  The</w:t>
      </w:r>
      <w:r w:rsidR="00701271" w:rsidRPr="003A35C4">
        <w:t xml:space="preserve"> process</w:t>
      </w:r>
      <w:r w:rsidR="002B221D" w:rsidRPr="003A35C4">
        <w:t xml:space="preserve"> </w:t>
      </w:r>
      <w:r>
        <w:t xml:space="preserve">outlined </w:t>
      </w:r>
      <w:r w:rsidRPr="003A35C4">
        <w:t>above</w:t>
      </w:r>
      <w:r w:rsidR="002B221D" w:rsidRPr="003A35C4">
        <w:t xml:space="preserve"> allow</w:t>
      </w:r>
      <w:r>
        <w:t>s</w:t>
      </w:r>
      <w:r w:rsidR="002B221D" w:rsidRPr="003A35C4">
        <w:t xml:space="preserve"> for</w:t>
      </w:r>
      <w:r w:rsidR="00701271" w:rsidRPr="003A35C4">
        <w:t xml:space="preserve"> a NOx mass cap calcul</w:t>
      </w:r>
      <w:r w:rsidR="002B221D" w:rsidRPr="003A35C4">
        <w:t>ation</w:t>
      </w:r>
      <w:r w:rsidR="00701271" w:rsidRPr="003A35C4">
        <w:t xml:space="preserve"> representative of the existing EGU fleet and its ability to achieve NOx emissions reductions</w:t>
      </w:r>
      <w:r w:rsidR="00320C20">
        <w:t>. It also</w:t>
      </w:r>
      <w:r w:rsidR="006E17F4">
        <w:t xml:space="preserve"> </w:t>
      </w:r>
      <w:r w:rsidR="00320C20">
        <w:t xml:space="preserve">identified </w:t>
      </w:r>
      <w:r w:rsidR="00701271" w:rsidRPr="003A35C4">
        <w:t>areas where some of the existing regulatory and economic process</w:t>
      </w:r>
      <w:r w:rsidR="006E17F4">
        <w:t>es</w:t>
      </w:r>
      <w:r w:rsidR="00701271" w:rsidRPr="003A35C4">
        <w:t xml:space="preserve"> have produced some NOx reduction success (such as increased use of well-controlled gas-fueled comb</w:t>
      </w:r>
      <w:r w:rsidR="00A72D82">
        <w:t xml:space="preserve">ined cycle </w:t>
      </w:r>
      <w:r w:rsidR="00A72D82" w:rsidRPr="009C7CF6">
        <w:t>units</w:t>
      </w:r>
      <w:r w:rsidR="00A72D82">
        <w:t xml:space="preserve">) and </w:t>
      </w:r>
      <w:r w:rsidR="00A72D82" w:rsidRPr="009C7CF6">
        <w:t>areas wher</w:t>
      </w:r>
      <w:r w:rsidR="009439BD" w:rsidRPr="009C7CF6">
        <w:t>e NOx reductions have diminished</w:t>
      </w:r>
      <w:r w:rsidR="00701271" w:rsidRPr="009C7CF6">
        <w:t xml:space="preserve"> </w:t>
      </w:r>
      <w:r w:rsidR="00701271" w:rsidRPr="003A35C4">
        <w:t xml:space="preserve">(such as discontinuing or ineffectively using existing NOx controls on some coal-fired units).  </w:t>
      </w:r>
    </w:p>
    <w:p w:rsidR="00B22178" w:rsidRPr="00E33899" w:rsidRDefault="00B22178" w:rsidP="00701271">
      <w:pPr>
        <w:rPr>
          <w:b/>
          <w:color w:val="FF0000"/>
          <w:sz w:val="20"/>
          <w:szCs w:val="20"/>
        </w:rPr>
      </w:pPr>
    </w:p>
    <w:p w:rsidR="00E33899" w:rsidRDefault="0026767E" w:rsidP="00701271">
      <w:pPr>
        <w:rPr>
          <w:u w:val="single"/>
        </w:rPr>
      </w:pPr>
      <w:r w:rsidRPr="0026767E">
        <w:rPr>
          <w:u w:val="single"/>
        </w:rPr>
        <w:t>R</w:t>
      </w:r>
      <w:r w:rsidR="00320C20">
        <w:rPr>
          <w:u w:val="single"/>
        </w:rPr>
        <w:t>esults</w:t>
      </w:r>
    </w:p>
    <w:p w:rsidR="003C44A7" w:rsidRDefault="003C44A7" w:rsidP="00701271">
      <w:pPr>
        <w:rPr>
          <w:u w:val="single"/>
        </w:rPr>
      </w:pPr>
    </w:p>
    <w:p w:rsidR="00810DB7" w:rsidRDefault="0094764D" w:rsidP="00701271">
      <w:r>
        <w:t xml:space="preserve">The </w:t>
      </w:r>
      <w:r w:rsidR="00320C20">
        <w:t xml:space="preserve">following </w:t>
      </w:r>
      <w:r w:rsidR="00764419">
        <w:t>graphs</w:t>
      </w:r>
      <w:r>
        <w:t xml:space="preserve"> show the impact of </w:t>
      </w:r>
      <w:r w:rsidR="00C41467">
        <w:t xml:space="preserve">Analysis </w:t>
      </w:r>
      <w:r>
        <w:t xml:space="preserve">1 </w:t>
      </w:r>
      <w:r w:rsidR="005B3CB8">
        <w:t xml:space="preserve">NOx </w:t>
      </w:r>
      <w:r>
        <w:t>controls</w:t>
      </w:r>
      <w:r w:rsidR="00320C20">
        <w:t>,</w:t>
      </w:r>
      <w:r w:rsidR="005B3CB8">
        <w:t xml:space="preserve"> and </w:t>
      </w:r>
      <w:r w:rsidR="00227B3A">
        <w:t xml:space="preserve">the </w:t>
      </w:r>
      <w:r w:rsidR="005B3CB8">
        <w:t xml:space="preserve">potential </w:t>
      </w:r>
      <w:r w:rsidR="00227B3A">
        <w:t xml:space="preserve">impact of </w:t>
      </w:r>
      <w:r w:rsidR="005B3CB8">
        <w:t xml:space="preserve">EGU </w:t>
      </w:r>
      <w:r>
        <w:t xml:space="preserve">retirements on state level ozone season NOx mass emissions in tons. </w:t>
      </w:r>
      <w:r w:rsidR="00EB5F34">
        <w:t xml:space="preserve"> </w:t>
      </w:r>
      <w:r w:rsidR="008958D4">
        <w:t>T</w:t>
      </w:r>
      <w:r w:rsidR="00EB5F34">
        <w:t xml:space="preserve">he spreadsheets used to create these </w:t>
      </w:r>
      <w:r w:rsidR="004E03B9">
        <w:t>graphs</w:t>
      </w:r>
      <w:r w:rsidR="00EB5F34">
        <w:t xml:space="preserve"> can be found in Appendix </w:t>
      </w:r>
      <w:r w:rsidR="0069390E">
        <w:t>3</w:t>
      </w:r>
      <w:r w:rsidR="00EB5F34">
        <w:t>.</w:t>
      </w:r>
    </w:p>
    <w:p w:rsidR="00B22178" w:rsidRDefault="00B22178" w:rsidP="00701271"/>
    <w:p w:rsidR="008613C1" w:rsidRDefault="00B22178" w:rsidP="00B22178">
      <w:pPr>
        <w:jc w:val="center"/>
        <w:rPr>
          <w:b/>
        </w:rPr>
      </w:pPr>
      <w:r w:rsidRPr="00945A99">
        <w:rPr>
          <w:b/>
        </w:rPr>
        <w:t>Estimated Impact of Coal-Fired EGU Retirements and Analysis 1 NOx Controls on Ozone Season EGU NOx Emissions for OTC States (Revised 11.25.2013)</w:t>
      </w:r>
    </w:p>
    <w:p w:rsidR="00B22178" w:rsidRPr="00945A99" w:rsidRDefault="00AA1A3B" w:rsidP="00B22178">
      <w:pPr>
        <w:jc w:val="center"/>
        <w:rPr>
          <w:b/>
        </w:rPr>
      </w:pPr>
      <w:r>
        <w:rPr>
          <w:b/>
        </w:rPr>
        <w:t>(</w:t>
      </w:r>
      <w:proofErr w:type="gramStart"/>
      <w:r>
        <w:rPr>
          <w:b/>
        </w:rPr>
        <w:t>measured</w:t>
      </w:r>
      <w:proofErr w:type="gramEnd"/>
      <w:r>
        <w:rPr>
          <w:b/>
        </w:rPr>
        <w:t xml:space="preserve"> in Tons)</w:t>
      </w:r>
    </w:p>
    <w:p w:rsidR="00823E47" w:rsidRDefault="00823E47" w:rsidP="00B22178">
      <w:pPr>
        <w:jc w:val="center"/>
      </w:pPr>
    </w:p>
    <w:p w:rsidR="00823E47" w:rsidRDefault="00DB16B8" w:rsidP="00B15C6D">
      <w:pPr>
        <w:jc w:val="center"/>
      </w:pPr>
      <w:r>
        <w:rPr>
          <w:noProof/>
        </w:rPr>
        <w:drawing>
          <wp:inline distT="0" distB="0" distL="0" distR="0">
            <wp:extent cx="5067300" cy="3171825"/>
            <wp:effectExtent l="19050" t="0" r="0" b="0"/>
            <wp:docPr id="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cstate="print"/>
                    <a:srcRect/>
                    <a:stretch>
                      <a:fillRect/>
                    </a:stretch>
                  </pic:blipFill>
                  <pic:spPr bwMode="auto">
                    <a:xfrm>
                      <a:off x="0" y="0"/>
                      <a:ext cx="5067300" cy="3171825"/>
                    </a:xfrm>
                    <a:prstGeom prst="rect">
                      <a:avLst/>
                    </a:prstGeom>
                    <a:noFill/>
                    <a:ln w="9525">
                      <a:noFill/>
                      <a:miter lim="800000"/>
                      <a:headEnd/>
                      <a:tailEnd/>
                    </a:ln>
                  </pic:spPr>
                </pic:pic>
              </a:graphicData>
            </a:graphic>
          </wp:inline>
        </w:drawing>
      </w:r>
      <w:r w:rsidR="00B15C6D" w:rsidRPr="00B15C6D">
        <w:t xml:space="preserve"> </w:t>
      </w:r>
    </w:p>
    <w:p w:rsidR="00823E47" w:rsidRDefault="00823E47" w:rsidP="00B15C6D">
      <w:pPr>
        <w:jc w:val="center"/>
      </w:pPr>
    </w:p>
    <w:p w:rsidR="00823E47" w:rsidRDefault="00823E47" w:rsidP="00B15C6D">
      <w:pPr>
        <w:jc w:val="center"/>
      </w:pPr>
    </w:p>
    <w:p w:rsidR="00823E47" w:rsidRDefault="00823E47" w:rsidP="00B15C6D">
      <w:pPr>
        <w:jc w:val="center"/>
      </w:pPr>
    </w:p>
    <w:p w:rsidR="00507882" w:rsidRDefault="00B15C6D" w:rsidP="00B15C6D">
      <w:pPr>
        <w:jc w:val="center"/>
        <w:rPr>
          <w:b/>
        </w:rPr>
      </w:pPr>
      <w:r w:rsidRPr="00945A99">
        <w:rPr>
          <w:b/>
        </w:rPr>
        <w:lastRenderedPageBreak/>
        <w:t xml:space="preserve">Estimated Impact of Coal-Fired EGU Retirements and Analysis 1 NOx Controls on Ozone Season EGU NOx Emissions for LADCO States </w:t>
      </w:r>
    </w:p>
    <w:p w:rsidR="00B15C6D" w:rsidRPr="00945A99" w:rsidRDefault="00B15C6D" w:rsidP="00B15C6D">
      <w:pPr>
        <w:jc w:val="center"/>
        <w:rPr>
          <w:b/>
        </w:rPr>
      </w:pPr>
      <w:r w:rsidRPr="00945A99">
        <w:rPr>
          <w:b/>
        </w:rPr>
        <w:t>(Revised 11.25.2013)</w:t>
      </w:r>
      <w:r w:rsidR="00AA1A3B">
        <w:rPr>
          <w:b/>
        </w:rPr>
        <w:t xml:space="preserve"> (</w:t>
      </w:r>
      <w:proofErr w:type="gramStart"/>
      <w:r w:rsidR="00AA1A3B">
        <w:rPr>
          <w:b/>
        </w:rPr>
        <w:t>measured</w:t>
      </w:r>
      <w:proofErr w:type="gramEnd"/>
      <w:r w:rsidR="00AA1A3B">
        <w:rPr>
          <w:b/>
        </w:rPr>
        <w:t xml:space="preserve"> in Tons)</w:t>
      </w:r>
    </w:p>
    <w:p w:rsidR="00B15C6D" w:rsidRPr="00874D4D" w:rsidRDefault="00B15C6D" w:rsidP="00701271"/>
    <w:p w:rsidR="00B15C6D" w:rsidRDefault="00DB16B8" w:rsidP="00701271">
      <w:r>
        <w:rPr>
          <w:noProof/>
        </w:rPr>
        <w:drawing>
          <wp:inline distT="0" distB="0" distL="0" distR="0">
            <wp:extent cx="5486400" cy="3028950"/>
            <wp:effectExtent l="19050" t="0" r="0" b="0"/>
            <wp:docPr id="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cstate="print"/>
                    <a:srcRect/>
                    <a:stretch>
                      <a:fillRect/>
                    </a:stretch>
                  </pic:blipFill>
                  <pic:spPr bwMode="auto">
                    <a:xfrm>
                      <a:off x="0" y="0"/>
                      <a:ext cx="5486400" cy="3028950"/>
                    </a:xfrm>
                    <a:prstGeom prst="rect">
                      <a:avLst/>
                    </a:prstGeom>
                    <a:noFill/>
                    <a:ln w="9525">
                      <a:noFill/>
                      <a:miter lim="800000"/>
                      <a:headEnd/>
                      <a:tailEnd/>
                    </a:ln>
                  </pic:spPr>
                </pic:pic>
              </a:graphicData>
            </a:graphic>
          </wp:inline>
        </w:drawing>
      </w:r>
    </w:p>
    <w:p w:rsidR="00B15C6D" w:rsidRDefault="00B15C6D" w:rsidP="00701271"/>
    <w:p w:rsidR="00AA1A3B" w:rsidRDefault="00AA1A3B" w:rsidP="00B15C6D">
      <w:pPr>
        <w:jc w:val="center"/>
        <w:rPr>
          <w:b/>
        </w:rPr>
      </w:pPr>
    </w:p>
    <w:p w:rsidR="00AA1A3B" w:rsidRDefault="00AA1A3B" w:rsidP="00B15C6D">
      <w:pPr>
        <w:jc w:val="center"/>
        <w:rPr>
          <w:b/>
        </w:rPr>
      </w:pPr>
    </w:p>
    <w:p w:rsidR="00AA1A3B" w:rsidRDefault="00AA1A3B" w:rsidP="00B15C6D">
      <w:pPr>
        <w:jc w:val="center"/>
        <w:rPr>
          <w:b/>
        </w:rPr>
      </w:pPr>
    </w:p>
    <w:p w:rsidR="00B15C6D" w:rsidRPr="00945A99" w:rsidRDefault="00B15C6D" w:rsidP="00B15C6D">
      <w:pPr>
        <w:jc w:val="center"/>
        <w:rPr>
          <w:b/>
        </w:rPr>
      </w:pPr>
      <w:r w:rsidRPr="00945A99">
        <w:rPr>
          <w:b/>
        </w:rPr>
        <w:t xml:space="preserve">Estimated Impact of Coal-Fired EGU Retirements and Analysis 1 NOx Controls on Ozone Season EGU NOx Emissions </w:t>
      </w:r>
      <w:r w:rsidRPr="00712702">
        <w:rPr>
          <w:b/>
        </w:rPr>
        <w:t>for VISTA</w:t>
      </w:r>
      <w:r w:rsidR="000B1F84" w:rsidRPr="00712702">
        <w:rPr>
          <w:b/>
        </w:rPr>
        <w:t>S</w:t>
      </w:r>
      <w:r w:rsidRPr="00712702">
        <w:rPr>
          <w:b/>
        </w:rPr>
        <w:t xml:space="preserve"> States</w:t>
      </w:r>
      <w:r w:rsidRPr="00945A99">
        <w:rPr>
          <w:b/>
        </w:rPr>
        <w:t xml:space="preserve"> minus Virginia </w:t>
      </w:r>
      <w:r w:rsidR="000C655D">
        <w:rPr>
          <w:b/>
        </w:rPr>
        <w:t xml:space="preserve">         </w:t>
      </w:r>
      <w:r w:rsidRPr="00945A99">
        <w:rPr>
          <w:b/>
        </w:rPr>
        <w:t>(Revised 11.25.2013)</w:t>
      </w:r>
      <w:r w:rsidR="00AA1A3B">
        <w:rPr>
          <w:b/>
        </w:rPr>
        <w:t xml:space="preserve"> (measured in Tons)</w:t>
      </w:r>
    </w:p>
    <w:p w:rsidR="00B15C6D" w:rsidRDefault="00DB16B8" w:rsidP="00701271">
      <w:r>
        <w:rPr>
          <w:noProof/>
        </w:rPr>
        <w:drawing>
          <wp:inline distT="0" distB="0" distL="0" distR="0">
            <wp:extent cx="5486400" cy="3143250"/>
            <wp:effectExtent l="19050" t="0" r="0" b="0"/>
            <wp:docPr id="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cstate="print"/>
                    <a:srcRect/>
                    <a:stretch>
                      <a:fillRect/>
                    </a:stretch>
                  </pic:blipFill>
                  <pic:spPr bwMode="auto">
                    <a:xfrm>
                      <a:off x="0" y="0"/>
                      <a:ext cx="5486400" cy="3143250"/>
                    </a:xfrm>
                    <a:prstGeom prst="rect">
                      <a:avLst/>
                    </a:prstGeom>
                    <a:noFill/>
                    <a:ln w="9525">
                      <a:noFill/>
                      <a:miter lim="800000"/>
                      <a:headEnd/>
                      <a:tailEnd/>
                    </a:ln>
                  </pic:spPr>
                </pic:pic>
              </a:graphicData>
            </a:graphic>
          </wp:inline>
        </w:drawing>
      </w:r>
    </w:p>
    <w:p w:rsidR="00810DB7" w:rsidRDefault="00810DB7" w:rsidP="00C05E67"/>
    <w:p w:rsidR="00810DB7" w:rsidRDefault="00810DB7" w:rsidP="003C44A7">
      <w:pPr>
        <w:autoSpaceDE w:val="0"/>
        <w:autoSpaceDN w:val="0"/>
        <w:adjustRightInd w:val="0"/>
      </w:pPr>
    </w:p>
    <w:p w:rsidR="000C655D" w:rsidRDefault="00E3619D" w:rsidP="00E3619D">
      <w:pPr>
        <w:autoSpaceDE w:val="0"/>
        <w:autoSpaceDN w:val="0"/>
        <w:adjustRightInd w:val="0"/>
        <w:jc w:val="center"/>
        <w:rPr>
          <w:b/>
        </w:rPr>
      </w:pPr>
      <w:r w:rsidRPr="00945A99">
        <w:rPr>
          <w:b/>
        </w:rPr>
        <w:t xml:space="preserve">Estimated Impact of Coal Fired EGU Retirements and Analysis 1 NOx Controls on Ozone Season EGU NOx Emissions Regional Summary </w:t>
      </w:r>
    </w:p>
    <w:p w:rsidR="00E3619D" w:rsidRPr="00945A99" w:rsidRDefault="00E3619D" w:rsidP="00E3619D">
      <w:pPr>
        <w:autoSpaceDE w:val="0"/>
        <w:autoSpaceDN w:val="0"/>
        <w:adjustRightInd w:val="0"/>
        <w:jc w:val="center"/>
        <w:rPr>
          <w:b/>
        </w:rPr>
      </w:pPr>
      <w:r w:rsidRPr="00945A99">
        <w:rPr>
          <w:b/>
        </w:rPr>
        <w:t>(Revised 11.25.2013)</w:t>
      </w:r>
      <w:r w:rsidR="00AA1A3B">
        <w:rPr>
          <w:b/>
        </w:rPr>
        <w:t xml:space="preserve"> (Measured in Tons)</w:t>
      </w:r>
    </w:p>
    <w:p w:rsidR="00E3619D" w:rsidRDefault="00E3619D" w:rsidP="00E3619D">
      <w:pPr>
        <w:autoSpaceDE w:val="0"/>
        <w:autoSpaceDN w:val="0"/>
        <w:adjustRightInd w:val="0"/>
        <w:jc w:val="center"/>
      </w:pPr>
    </w:p>
    <w:p w:rsidR="00E3619D" w:rsidRPr="00C24EC8" w:rsidRDefault="00DB16B8" w:rsidP="00E3619D">
      <w:pPr>
        <w:autoSpaceDE w:val="0"/>
        <w:autoSpaceDN w:val="0"/>
        <w:adjustRightInd w:val="0"/>
        <w:jc w:val="center"/>
      </w:pPr>
      <w:r>
        <w:rPr>
          <w:noProof/>
        </w:rPr>
        <w:drawing>
          <wp:inline distT="0" distB="0" distL="0" distR="0">
            <wp:extent cx="5486400" cy="3009900"/>
            <wp:effectExtent l="19050" t="0" r="0" b="0"/>
            <wp:docPr id="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srcRect/>
                    <a:stretch>
                      <a:fillRect/>
                    </a:stretch>
                  </pic:blipFill>
                  <pic:spPr bwMode="auto">
                    <a:xfrm>
                      <a:off x="0" y="0"/>
                      <a:ext cx="5486400" cy="3009900"/>
                    </a:xfrm>
                    <a:prstGeom prst="rect">
                      <a:avLst/>
                    </a:prstGeom>
                    <a:noFill/>
                    <a:ln w="9525">
                      <a:noFill/>
                      <a:miter lim="800000"/>
                      <a:headEnd/>
                      <a:tailEnd/>
                    </a:ln>
                  </pic:spPr>
                </pic:pic>
              </a:graphicData>
            </a:graphic>
          </wp:inline>
        </w:drawing>
      </w:r>
    </w:p>
    <w:p w:rsidR="0026767E" w:rsidRDefault="00701271" w:rsidP="003C44A7">
      <w:pPr>
        <w:autoSpaceDE w:val="0"/>
        <w:autoSpaceDN w:val="0"/>
        <w:adjustRightInd w:val="0"/>
        <w:rPr>
          <w:rFonts w:ascii="Calibri" w:hAnsi="Calibri"/>
          <w:color w:val="FF0000"/>
          <w:sz w:val="22"/>
          <w:szCs w:val="22"/>
          <w:u w:val="single"/>
        </w:rPr>
      </w:pPr>
      <w:r w:rsidRPr="003C44A7">
        <w:rPr>
          <w:rFonts w:ascii="Calibri" w:hAnsi="Calibri"/>
          <w:color w:val="FF0000"/>
          <w:sz w:val="22"/>
          <w:szCs w:val="22"/>
          <w:u w:val="single"/>
        </w:rPr>
        <w:t> </w:t>
      </w:r>
    </w:p>
    <w:p w:rsidR="00EB5F34" w:rsidRPr="00EB5F34" w:rsidRDefault="00EB5F34" w:rsidP="003C44A7">
      <w:pPr>
        <w:autoSpaceDE w:val="0"/>
        <w:autoSpaceDN w:val="0"/>
        <w:adjustRightInd w:val="0"/>
        <w:rPr>
          <w:rFonts w:cs="Arial"/>
          <w:u w:val="single"/>
        </w:rPr>
      </w:pPr>
    </w:p>
    <w:p w:rsidR="0094764D" w:rsidRDefault="0094764D" w:rsidP="00AB3A8F">
      <w:pPr>
        <w:rPr>
          <w:rFonts w:cs="Arial"/>
          <w:u w:val="single"/>
        </w:rPr>
      </w:pPr>
      <w:r>
        <w:rPr>
          <w:rFonts w:cs="Arial"/>
        </w:rPr>
        <w:t xml:space="preserve">The </w:t>
      </w:r>
      <w:r w:rsidR="008958D4">
        <w:rPr>
          <w:rFonts w:cs="Arial"/>
        </w:rPr>
        <w:t>following graphs</w:t>
      </w:r>
      <w:r w:rsidR="00993941">
        <w:rPr>
          <w:rFonts w:cs="Arial"/>
        </w:rPr>
        <w:t xml:space="preserve"> </w:t>
      </w:r>
      <w:r w:rsidR="008958D4">
        <w:rPr>
          <w:rFonts w:cs="Arial"/>
        </w:rPr>
        <w:t>demonstrate</w:t>
      </w:r>
      <w:r>
        <w:t xml:space="preserve"> the </w:t>
      </w:r>
      <w:r w:rsidR="00424AE3">
        <w:t xml:space="preserve">potential </w:t>
      </w:r>
      <w:r>
        <w:t xml:space="preserve">impact of </w:t>
      </w:r>
      <w:r w:rsidR="00C41467">
        <w:t xml:space="preserve">Analysis </w:t>
      </w:r>
      <w:r>
        <w:t>1</w:t>
      </w:r>
      <w:r w:rsidR="005B3CB8">
        <w:t xml:space="preserve"> NOx controls and </w:t>
      </w:r>
      <w:r w:rsidR="00424AE3">
        <w:t xml:space="preserve">the </w:t>
      </w:r>
      <w:r w:rsidR="005B3CB8">
        <w:t xml:space="preserve">potential </w:t>
      </w:r>
      <w:r w:rsidR="00424AE3">
        <w:t xml:space="preserve">impact of </w:t>
      </w:r>
      <w:r w:rsidR="005B3CB8">
        <w:t xml:space="preserve">EGU </w:t>
      </w:r>
      <w:r>
        <w:t xml:space="preserve">retirements on state level ozone season NOx emission rates in </w:t>
      </w:r>
      <w:r w:rsidR="009633F5">
        <w:t>lb.NOx/MMBtu</w:t>
      </w:r>
      <w:r>
        <w:t xml:space="preserve">.  </w:t>
      </w:r>
      <w:r w:rsidR="008958D4">
        <w:t>T</w:t>
      </w:r>
      <w:r>
        <w:t xml:space="preserve">he spreadsheets used to create these </w:t>
      </w:r>
      <w:r w:rsidR="008958D4">
        <w:t xml:space="preserve">graphs </w:t>
      </w:r>
      <w:r>
        <w:t xml:space="preserve">can be found in Appendix </w:t>
      </w:r>
      <w:r w:rsidR="0069390E">
        <w:t>4</w:t>
      </w:r>
      <w:r w:rsidR="008958D4">
        <w:t>.</w:t>
      </w:r>
    </w:p>
    <w:p w:rsidR="006B4518" w:rsidRDefault="006B4518"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A848AB" w:rsidRDefault="00A848AB" w:rsidP="008958D4">
      <w:pPr>
        <w:autoSpaceDE w:val="0"/>
        <w:autoSpaceDN w:val="0"/>
        <w:adjustRightInd w:val="0"/>
        <w:jc w:val="center"/>
        <w:rPr>
          <w:rFonts w:cs="Arial"/>
          <w:b/>
        </w:rPr>
      </w:pPr>
    </w:p>
    <w:p w:rsidR="00880EAA" w:rsidRDefault="008958D4" w:rsidP="008958D4">
      <w:pPr>
        <w:autoSpaceDE w:val="0"/>
        <w:autoSpaceDN w:val="0"/>
        <w:adjustRightInd w:val="0"/>
        <w:jc w:val="center"/>
        <w:rPr>
          <w:rFonts w:cs="Arial"/>
          <w:b/>
        </w:rPr>
      </w:pPr>
      <w:r w:rsidRPr="00945A99">
        <w:rPr>
          <w:rFonts w:cs="Arial"/>
          <w:b/>
        </w:rPr>
        <w:lastRenderedPageBreak/>
        <w:t xml:space="preserve">Estimated Impact of Coal Fired EGU Retirements and Analysis 1 NOx Controls on Ozone Season Fleet Average NOx Emission Rates </w:t>
      </w:r>
      <w:r w:rsidR="002050CE">
        <w:rPr>
          <w:rFonts w:cs="Arial"/>
          <w:b/>
        </w:rPr>
        <w:t>f</w:t>
      </w:r>
      <w:r w:rsidRPr="00945A99">
        <w:rPr>
          <w:rFonts w:cs="Arial"/>
          <w:b/>
        </w:rPr>
        <w:t xml:space="preserve">or OTC States </w:t>
      </w:r>
    </w:p>
    <w:p w:rsidR="008958D4" w:rsidRPr="00945A99" w:rsidRDefault="008958D4" w:rsidP="008958D4">
      <w:pPr>
        <w:autoSpaceDE w:val="0"/>
        <w:autoSpaceDN w:val="0"/>
        <w:adjustRightInd w:val="0"/>
        <w:jc w:val="center"/>
        <w:rPr>
          <w:rFonts w:cs="Arial"/>
          <w:b/>
        </w:rPr>
      </w:pPr>
      <w:r w:rsidRPr="00945A99">
        <w:rPr>
          <w:rFonts w:cs="Arial"/>
          <w:b/>
        </w:rPr>
        <w:t>(Revised 11.25.2013)</w:t>
      </w:r>
      <w:r w:rsidR="00AA1A3B">
        <w:rPr>
          <w:rFonts w:cs="Arial"/>
          <w:b/>
        </w:rPr>
        <w:t xml:space="preserve"> (Measured in lb/</w:t>
      </w:r>
      <w:proofErr w:type="spellStart"/>
      <w:r w:rsidR="00AA1A3B">
        <w:rPr>
          <w:rFonts w:cs="Arial"/>
          <w:b/>
        </w:rPr>
        <w:t>MMBtu</w:t>
      </w:r>
      <w:proofErr w:type="spellEnd"/>
      <w:r w:rsidR="00AA1A3B">
        <w:rPr>
          <w:rFonts w:cs="Arial"/>
          <w:b/>
        </w:rPr>
        <w:t>)</w:t>
      </w:r>
    </w:p>
    <w:p w:rsidR="00902548" w:rsidRPr="00902548" w:rsidRDefault="00DB16B8" w:rsidP="008958D4">
      <w:pPr>
        <w:autoSpaceDE w:val="0"/>
        <w:autoSpaceDN w:val="0"/>
        <w:adjustRightInd w:val="0"/>
        <w:jc w:val="center"/>
        <w:rPr>
          <w:rFonts w:cs="Arial"/>
        </w:rPr>
      </w:pPr>
      <w:r>
        <w:rPr>
          <w:rFonts w:cs="Arial"/>
          <w:noProof/>
        </w:rPr>
        <w:drawing>
          <wp:inline distT="0" distB="0" distL="0" distR="0">
            <wp:extent cx="5486400" cy="2943225"/>
            <wp:effectExtent l="19050" t="0" r="0" b="0"/>
            <wp:docPr id="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cstate="print"/>
                    <a:srcRect/>
                    <a:stretch>
                      <a:fillRect/>
                    </a:stretch>
                  </pic:blipFill>
                  <pic:spPr bwMode="auto">
                    <a:xfrm>
                      <a:off x="0" y="0"/>
                      <a:ext cx="5486400" cy="2943225"/>
                    </a:xfrm>
                    <a:prstGeom prst="rect">
                      <a:avLst/>
                    </a:prstGeom>
                    <a:noFill/>
                    <a:ln w="9525">
                      <a:noFill/>
                      <a:miter lim="800000"/>
                      <a:headEnd/>
                      <a:tailEnd/>
                    </a:ln>
                  </pic:spPr>
                </pic:pic>
              </a:graphicData>
            </a:graphic>
          </wp:inline>
        </w:drawing>
      </w:r>
    </w:p>
    <w:p w:rsidR="006B4518" w:rsidRDefault="006B4518" w:rsidP="00AA1A3B">
      <w:pPr>
        <w:autoSpaceDE w:val="0"/>
        <w:autoSpaceDN w:val="0"/>
        <w:adjustRightInd w:val="0"/>
        <w:jc w:val="center"/>
        <w:rPr>
          <w:rFonts w:cs="Arial"/>
          <w:b/>
        </w:rPr>
      </w:pPr>
    </w:p>
    <w:p w:rsidR="006B4518" w:rsidRDefault="006B4518" w:rsidP="00AA1A3B">
      <w:pPr>
        <w:autoSpaceDE w:val="0"/>
        <w:autoSpaceDN w:val="0"/>
        <w:adjustRightInd w:val="0"/>
        <w:jc w:val="center"/>
        <w:rPr>
          <w:rFonts w:cs="Arial"/>
          <w:b/>
        </w:rPr>
      </w:pPr>
    </w:p>
    <w:p w:rsidR="00880EAA" w:rsidRDefault="00902548" w:rsidP="00AA1A3B">
      <w:pPr>
        <w:autoSpaceDE w:val="0"/>
        <w:autoSpaceDN w:val="0"/>
        <w:adjustRightInd w:val="0"/>
        <w:jc w:val="center"/>
        <w:rPr>
          <w:rFonts w:cs="Arial"/>
          <w:b/>
        </w:rPr>
      </w:pPr>
      <w:r w:rsidRPr="00945A99">
        <w:rPr>
          <w:rFonts w:cs="Arial"/>
          <w:b/>
        </w:rPr>
        <w:t xml:space="preserve">Estimated Impact of Coal Fired EGU Retirements and Analysis 1 NOx Controls on Ozone Season Fleet Average NOx Emission Rates </w:t>
      </w:r>
      <w:r w:rsidR="007F027F">
        <w:rPr>
          <w:rFonts w:cs="Arial"/>
          <w:b/>
        </w:rPr>
        <w:t>f</w:t>
      </w:r>
      <w:r w:rsidRPr="00945A99">
        <w:rPr>
          <w:rFonts w:cs="Arial"/>
          <w:b/>
        </w:rPr>
        <w:t xml:space="preserve">or LADCO States </w:t>
      </w:r>
    </w:p>
    <w:p w:rsidR="00AA1A3B" w:rsidRPr="00945A99" w:rsidRDefault="00902548" w:rsidP="00AA1A3B">
      <w:pPr>
        <w:autoSpaceDE w:val="0"/>
        <w:autoSpaceDN w:val="0"/>
        <w:adjustRightInd w:val="0"/>
        <w:jc w:val="center"/>
        <w:rPr>
          <w:rFonts w:cs="Arial"/>
          <w:b/>
        </w:rPr>
      </w:pPr>
      <w:r w:rsidRPr="00945A99">
        <w:rPr>
          <w:rFonts w:cs="Arial"/>
          <w:b/>
        </w:rPr>
        <w:t>(Revised 11.25.2013)</w:t>
      </w:r>
      <w:r w:rsidR="00AA1A3B" w:rsidRPr="00AA1A3B">
        <w:rPr>
          <w:rFonts w:cs="Arial"/>
          <w:b/>
        </w:rPr>
        <w:t xml:space="preserve"> </w:t>
      </w:r>
      <w:r w:rsidR="00AA1A3B">
        <w:rPr>
          <w:rFonts w:cs="Arial"/>
          <w:b/>
        </w:rPr>
        <w:t>(Measured in lb/</w:t>
      </w:r>
      <w:proofErr w:type="spellStart"/>
      <w:r w:rsidR="00AA1A3B">
        <w:rPr>
          <w:rFonts w:cs="Arial"/>
          <w:b/>
        </w:rPr>
        <w:t>MMBtu</w:t>
      </w:r>
      <w:proofErr w:type="spellEnd"/>
      <w:r w:rsidR="00AA1A3B">
        <w:rPr>
          <w:rFonts w:cs="Arial"/>
          <w:b/>
        </w:rPr>
        <w:t>)</w:t>
      </w:r>
    </w:p>
    <w:p w:rsidR="00902548" w:rsidRPr="00945A99" w:rsidRDefault="00902548" w:rsidP="00902548">
      <w:pPr>
        <w:autoSpaceDE w:val="0"/>
        <w:autoSpaceDN w:val="0"/>
        <w:adjustRightInd w:val="0"/>
        <w:jc w:val="center"/>
        <w:rPr>
          <w:rFonts w:cs="Arial"/>
          <w:b/>
        </w:rPr>
      </w:pPr>
    </w:p>
    <w:p w:rsidR="00902548" w:rsidRPr="00902548" w:rsidRDefault="00902548" w:rsidP="00902548">
      <w:pPr>
        <w:autoSpaceDE w:val="0"/>
        <w:autoSpaceDN w:val="0"/>
        <w:adjustRightInd w:val="0"/>
        <w:jc w:val="center"/>
        <w:rPr>
          <w:rFonts w:cs="Arial"/>
        </w:rPr>
      </w:pPr>
    </w:p>
    <w:p w:rsidR="00902548" w:rsidRPr="00902548" w:rsidRDefault="00DB16B8" w:rsidP="003C44A7">
      <w:pPr>
        <w:autoSpaceDE w:val="0"/>
        <w:autoSpaceDN w:val="0"/>
        <w:adjustRightInd w:val="0"/>
        <w:rPr>
          <w:rFonts w:cs="Arial"/>
        </w:rPr>
      </w:pPr>
      <w:r>
        <w:rPr>
          <w:rFonts w:cs="Arial"/>
          <w:noProof/>
        </w:rPr>
        <w:drawing>
          <wp:inline distT="0" distB="0" distL="0" distR="0">
            <wp:extent cx="5476875" cy="2981325"/>
            <wp:effectExtent l="19050" t="0" r="9525" b="0"/>
            <wp:docPr id="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cstate="print"/>
                    <a:srcRect/>
                    <a:stretch>
                      <a:fillRect/>
                    </a:stretch>
                  </pic:blipFill>
                  <pic:spPr bwMode="auto">
                    <a:xfrm>
                      <a:off x="0" y="0"/>
                      <a:ext cx="5476875" cy="2981325"/>
                    </a:xfrm>
                    <a:prstGeom prst="rect">
                      <a:avLst/>
                    </a:prstGeom>
                    <a:noFill/>
                    <a:ln w="9525">
                      <a:noFill/>
                      <a:miter lim="800000"/>
                      <a:headEnd/>
                      <a:tailEnd/>
                    </a:ln>
                  </pic:spPr>
                </pic:pic>
              </a:graphicData>
            </a:graphic>
          </wp:inline>
        </w:drawing>
      </w:r>
    </w:p>
    <w:p w:rsidR="003516F2" w:rsidRDefault="003516F2" w:rsidP="00AA1A3B">
      <w:pPr>
        <w:autoSpaceDE w:val="0"/>
        <w:autoSpaceDN w:val="0"/>
        <w:adjustRightInd w:val="0"/>
        <w:jc w:val="center"/>
        <w:rPr>
          <w:rFonts w:cs="Arial"/>
          <w:b/>
        </w:rPr>
      </w:pPr>
    </w:p>
    <w:p w:rsidR="003516F2" w:rsidRDefault="003516F2" w:rsidP="00AA1A3B">
      <w:pPr>
        <w:autoSpaceDE w:val="0"/>
        <w:autoSpaceDN w:val="0"/>
        <w:adjustRightInd w:val="0"/>
        <w:jc w:val="center"/>
        <w:rPr>
          <w:rFonts w:cs="Arial"/>
          <w:b/>
        </w:rPr>
      </w:pPr>
    </w:p>
    <w:p w:rsidR="00AA1A3B" w:rsidRPr="00945A99" w:rsidRDefault="00902548" w:rsidP="00AA1A3B">
      <w:pPr>
        <w:autoSpaceDE w:val="0"/>
        <w:autoSpaceDN w:val="0"/>
        <w:adjustRightInd w:val="0"/>
        <w:jc w:val="center"/>
        <w:rPr>
          <w:rFonts w:cs="Arial"/>
          <w:b/>
        </w:rPr>
      </w:pPr>
      <w:r w:rsidRPr="00945A99">
        <w:rPr>
          <w:rFonts w:cs="Arial"/>
          <w:b/>
        </w:rPr>
        <w:lastRenderedPageBreak/>
        <w:t xml:space="preserve">Estimated Impact of Coal Fired EGU Retirements and Analysis 1 NOx Controls on Ozone Season Fleet Average NOx Emission Rates </w:t>
      </w:r>
      <w:r w:rsidR="00737083">
        <w:rPr>
          <w:rFonts w:cs="Arial"/>
          <w:b/>
        </w:rPr>
        <w:t>f</w:t>
      </w:r>
      <w:r w:rsidRPr="00945A99">
        <w:rPr>
          <w:rFonts w:cs="Arial"/>
          <w:b/>
        </w:rPr>
        <w:t xml:space="preserve">or VISTAS States </w:t>
      </w:r>
      <w:proofErr w:type="gramStart"/>
      <w:r w:rsidRPr="00945A99">
        <w:rPr>
          <w:rFonts w:cs="Arial"/>
          <w:b/>
        </w:rPr>
        <w:t>Minus</w:t>
      </w:r>
      <w:proofErr w:type="gramEnd"/>
      <w:r w:rsidRPr="00945A99">
        <w:rPr>
          <w:rFonts w:cs="Arial"/>
          <w:b/>
        </w:rPr>
        <w:t xml:space="preserve"> Virginia (Revised 11.25.2013)</w:t>
      </w:r>
      <w:r w:rsidR="00AA1A3B" w:rsidRPr="00AA1A3B">
        <w:rPr>
          <w:rFonts w:cs="Arial"/>
          <w:b/>
        </w:rPr>
        <w:t xml:space="preserve"> </w:t>
      </w:r>
      <w:r w:rsidR="00AA1A3B">
        <w:rPr>
          <w:rFonts w:cs="Arial"/>
          <w:b/>
        </w:rPr>
        <w:t>(Measured in lb/</w:t>
      </w:r>
      <w:proofErr w:type="spellStart"/>
      <w:r w:rsidR="00AA1A3B">
        <w:rPr>
          <w:rFonts w:cs="Arial"/>
          <w:b/>
        </w:rPr>
        <w:t>MMBtu</w:t>
      </w:r>
      <w:proofErr w:type="spellEnd"/>
      <w:r w:rsidR="00AA1A3B">
        <w:rPr>
          <w:rFonts w:cs="Arial"/>
          <w:b/>
        </w:rPr>
        <w:t>)</w:t>
      </w:r>
    </w:p>
    <w:p w:rsidR="00902548" w:rsidRPr="00945A99" w:rsidRDefault="00902548" w:rsidP="00902548">
      <w:pPr>
        <w:autoSpaceDE w:val="0"/>
        <w:autoSpaceDN w:val="0"/>
        <w:adjustRightInd w:val="0"/>
        <w:jc w:val="center"/>
        <w:rPr>
          <w:rFonts w:cs="Arial"/>
          <w:b/>
        </w:rPr>
      </w:pPr>
    </w:p>
    <w:p w:rsidR="00902548" w:rsidRDefault="00902548" w:rsidP="00902548">
      <w:pPr>
        <w:autoSpaceDE w:val="0"/>
        <w:autoSpaceDN w:val="0"/>
        <w:adjustRightInd w:val="0"/>
        <w:jc w:val="center"/>
        <w:rPr>
          <w:rFonts w:cs="Arial"/>
        </w:rPr>
      </w:pPr>
    </w:p>
    <w:p w:rsidR="00902548" w:rsidRPr="00902548" w:rsidRDefault="00DB16B8" w:rsidP="00902548">
      <w:pPr>
        <w:autoSpaceDE w:val="0"/>
        <w:autoSpaceDN w:val="0"/>
        <w:adjustRightInd w:val="0"/>
        <w:jc w:val="center"/>
        <w:rPr>
          <w:rFonts w:cs="Arial"/>
        </w:rPr>
      </w:pPr>
      <w:r>
        <w:rPr>
          <w:rFonts w:cs="Arial"/>
          <w:noProof/>
        </w:rPr>
        <w:drawing>
          <wp:inline distT="0" distB="0" distL="0" distR="0">
            <wp:extent cx="5486400" cy="3038475"/>
            <wp:effectExtent l="19050" t="0" r="0" b="0"/>
            <wp:docPr id="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srcRect/>
                    <a:stretch>
                      <a:fillRect/>
                    </a:stretch>
                  </pic:blipFill>
                  <pic:spPr bwMode="auto">
                    <a:xfrm>
                      <a:off x="0" y="0"/>
                      <a:ext cx="5486400" cy="3038475"/>
                    </a:xfrm>
                    <a:prstGeom prst="rect">
                      <a:avLst/>
                    </a:prstGeom>
                    <a:noFill/>
                    <a:ln w="9525">
                      <a:noFill/>
                      <a:miter lim="800000"/>
                      <a:headEnd/>
                      <a:tailEnd/>
                    </a:ln>
                  </pic:spPr>
                </pic:pic>
              </a:graphicData>
            </a:graphic>
          </wp:inline>
        </w:drawing>
      </w:r>
    </w:p>
    <w:p w:rsidR="00902548" w:rsidRDefault="00902548" w:rsidP="003C44A7">
      <w:pPr>
        <w:autoSpaceDE w:val="0"/>
        <w:autoSpaceDN w:val="0"/>
        <w:adjustRightInd w:val="0"/>
        <w:rPr>
          <w:rFonts w:cs="Arial"/>
          <w:u w:val="single"/>
        </w:rPr>
      </w:pPr>
    </w:p>
    <w:p w:rsidR="0094776E" w:rsidRPr="00785336" w:rsidRDefault="0094776E" w:rsidP="003C44A7">
      <w:pPr>
        <w:autoSpaceDE w:val="0"/>
        <w:autoSpaceDN w:val="0"/>
        <w:adjustRightInd w:val="0"/>
        <w:rPr>
          <w:rFonts w:cs="Arial"/>
          <w:u w:val="single"/>
        </w:rPr>
      </w:pPr>
    </w:p>
    <w:p w:rsidR="00C35521" w:rsidRPr="00C35521" w:rsidRDefault="00D44DBA" w:rsidP="006264DD">
      <w:pPr>
        <w:rPr>
          <w:b/>
          <w:color w:val="FF0000"/>
        </w:rPr>
      </w:pPr>
      <w:r>
        <w:rPr>
          <w:rFonts w:cs="Arial"/>
        </w:rPr>
        <w:t xml:space="preserve">The </w:t>
      </w:r>
      <w:r>
        <w:t xml:space="preserve">results of the NOx control </w:t>
      </w:r>
      <w:r w:rsidR="006264DD">
        <w:t xml:space="preserve">installation analysis </w:t>
      </w:r>
      <w:r>
        <w:t xml:space="preserve">and the separate analysis on the potential impact of EGU retirements on ozone season NOx emissions will vary from state to state.  </w:t>
      </w:r>
      <w:r w:rsidR="006264DD">
        <w:t>S</w:t>
      </w:r>
      <w:r>
        <w:t xml:space="preserve">ome states </w:t>
      </w:r>
      <w:r w:rsidR="006264DD">
        <w:t xml:space="preserve">anticipate </w:t>
      </w:r>
      <w:r>
        <w:t xml:space="preserve">no coal-fueled EGU retirements while </w:t>
      </w:r>
      <w:r w:rsidR="006264DD">
        <w:t>other</w:t>
      </w:r>
      <w:r>
        <w:t xml:space="preserve"> states</w:t>
      </w:r>
      <w:r w:rsidR="001D1C0F">
        <w:t xml:space="preserve"> anticipate</w:t>
      </w:r>
      <w:r>
        <w:t xml:space="preserve"> a significant amount of coal-fueled EGU retirements.</w:t>
      </w:r>
      <w:r w:rsidR="006264DD">
        <w:t xml:space="preserve"> Analysis 1 results demonstrate that significant NOx reductions can be achieved through the application of reasonabl</w:t>
      </w:r>
      <w:r w:rsidR="001D1C0F">
        <w:t>y</w:t>
      </w:r>
      <w:r w:rsidR="006264DD">
        <w:t xml:space="preserve"> available controls, beyond what is achieved through retirements and fuel switching from coal to natural gas. </w:t>
      </w:r>
      <w:r>
        <w:t xml:space="preserve">  </w:t>
      </w:r>
    </w:p>
    <w:p w:rsidR="0094776E" w:rsidRPr="0094776E" w:rsidRDefault="0094776E" w:rsidP="003C44A7">
      <w:pPr>
        <w:autoSpaceDE w:val="0"/>
        <w:autoSpaceDN w:val="0"/>
        <w:adjustRightInd w:val="0"/>
        <w:rPr>
          <w:rFonts w:cs="Arial"/>
          <w:u w:val="single"/>
        </w:rPr>
      </w:pPr>
    </w:p>
    <w:p w:rsidR="003F5A83" w:rsidRPr="00FE4CCB" w:rsidRDefault="00C41467" w:rsidP="005178DB">
      <w:pPr>
        <w:numPr>
          <w:ilvl w:val="0"/>
          <w:numId w:val="33"/>
        </w:numPr>
        <w:autoSpaceDE w:val="0"/>
        <w:autoSpaceDN w:val="0"/>
        <w:adjustRightInd w:val="0"/>
        <w:rPr>
          <w:rFonts w:cs="Arial"/>
          <w:b/>
          <w:color w:val="FF0000"/>
          <w:u w:val="single"/>
        </w:rPr>
      </w:pPr>
      <w:r w:rsidRPr="00FE4CCB">
        <w:rPr>
          <w:rFonts w:cs="Arial"/>
          <w:b/>
          <w:u w:val="single"/>
        </w:rPr>
        <w:t xml:space="preserve">Analysis </w:t>
      </w:r>
      <w:r w:rsidR="00AE0E5C" w:rsidRPr="00FE4CCB">
        <w:rPr>
          <w:rFonts w:cs="Arial"/>
          <w:b/>
          <w:u w:val="single"/>
        </w:rPr>
        <w:t>2</w:t>
      </w:r>
      <w:r w:rsidR="003C44A7" w:rsidRPr="00FE4CCB">
        <w:rPr>
          <w:rFonts w:cs="Arial"/>
          <w:b/>
          <w:u w:val="single"/>
        </w:rPr>
        <w:t>:</w:t>
      </w:r>
      <w:r w:rsidR="003A39C9" w:rsidRPr="00FE4CCB">
        <w:rPr>
          <w:rFonts w:cs="Arial"/>
          <w:b/>
          <w:u w:val="single"/>
        </w:rPr>
        <w:t xml:space="preserve"> </w:t>
      </w:r>
      <w:r w:rsidR="00FE4CCB" w:rsidRPr="00FE4CCB">
        <w:rPr>
          <w:rFonts w:cs="Arial"/>
          <w:b/>
          <w:u w:val="single"/>
        </w:rPr>
        <w:t xml:space="preserve">Short Term- </w:t>
      </w:r>
      <w:r w:rsidR="00842B7C" w:rsidRPr="00FE4CCB">
        <w:rPr>
          <w:rFonts w:cs="Arial"/>
          <w:b/>
          <w:u w:val="single"/>
        </w:rPr>
        <w:t>H</w:t>
      </w:r>
      <w:r w:rsidR="003A39C9" w:rsidRPr="00FE4CCB">
        <w:rPr>
          <w:rFonts w:cs="Arial"/>
          <w:b/>
          <w:u w:val="single"/>
        </w:rPr>
        <w:t xml:space="preserve">ourly </w:t>
      </w:r>
      <w:r w:rsidR="0035783F" w:rsidRPr="00FE4CCB">
        <w:rPr>
          <w:rFonts w:cs="Arial"/>
          <w:b/>
          <w:u w:val="single"/>
        </w:rPr>
        <w:t xml:space="preserve">EGU </w:t>
      </w:r>
      <w:r w:rsidR="003A39C9" w:rsidRPr="00FE4CCB">
        <w:rPr>
          <w:rFonts w:cs="Arial"/>
          <w:b/>
          <w:u w:val="single"/>
        </w:rPr>
        <w:t xml:space="preserve">NOx </w:t>
      </w:r>
      <w:r w:rsidR="009E5833">
        <w:rPr>
          <w:rFonts w:cs="Arial"/>
          <w:b/>
          <w:u w:val="single"/>
        </w:rPr>
        <w:t>E</w:t>
      </w:r>
      <w:r w:rsidR="003A39C9" w:rsidRPr="00FE4CCB">
        <w:rPr>
          <w:rFonts w:cs="Arial"/>
          <w:b/>
          <w:u w:val="single"/>
        </w:rPr>
        <w:t xml:space="preserve">missions during </w:t>
      </w:r>
      <w:r w:rsidR="0035783F" w:rsidRPr="00FE4CCB">
        <w:rPr>
          <w:rFonts w:cs="Arial"/>
          <w:b/>
          <w:u w:val="single"/>
        </w:rPr>
        <w:t xml:space="preserve">a </w:t>
      </w:r>
      <w:r w:rsidR="009E5833">
        <w:rPr>
          <w:rFonts w:cs="Arial"/>
          <w:b/>
          <w:u w:val="single"/>
        </w:rPr>
        <w:t>H</w:t>
      </w:r>
      <w:r w:rsidR="0035783F" w:rsidRPr="00FE4CCB">
        <w:rPr>
          <w:rFonts w:cs="Arial"/>
          <w:b/>
          <w:u w:val="single"/>
        </w:rPr>
        <w:t xml:space="preserve">igh </w:t>
      </w:r>
      <w:r w:rsidR="009E5833">
        <w:rPr>
          <w:rFonts w:cs="Arial"/>
          <w:b/>
          <w:u w:val="single"/>
        </w:rPr>
        <w:t>O</w:t>
      </w:r>
      <w:r w:rsidR="0035783F" w:rsidRPr="00FE4CCB">
        <w:rPr>
          <w:rFonts w:cs="Arial"/>
          <w:b/>
          <w:u w:val="single"/>
        </w:rPr>
        <w:t xml:space="preserve">zone </w:t>
      </w:r>
      <w:r w:rsidR="009E5833">
        <w:rPr>
          <w:rFonts w:cs="Arial"/>
          <w:b/>
          <w:u w:val="single"/>
        </w:rPr>
        <w:t>P</w:t>
      </w:r>
      <w:r w:rsidR="0035783F" w:rsidRPr="00FE4CCB">
        <w:rPr>
          <w:rFonts w:cs="Arial"/>
          <w:b/>
          <w:u w:val="single"/>
        </w:rPr>
        <w:t>eriod</w:t>
      </w:r>
      <w:r w:rsidR="003A39C9" w:rsidRPr="00FE4CCB">
        <w:rPr>
          <w:rFonts w:cs="Arial"/>
          <w:b/>
          <w:u w:val="single"/>
        </w:rPr>
        <w:t xml:space="preserve"> </w:t>
      </w:r>
    </w:p>
    <w:p w:rsidR="001B0031" w:rsidRDefault="001B0031" w:rsidP="001B0031">
      <w:pPr>
        <w:autoSpaceDE w:val="0"/>
        <w:autoSpaceDN w:val="0"/>
        <w:adjustRightInd w:val="0"/>
        <w:rPr>
          <w:rFonts w:cs="Arial"/>
        </w:rPr>
      </w:pPr>
    </w:p>
    <w:p w:rsidR="00842B7C" w:rsidRDefault="00842B7C" w:rsidP="001B0031">
      <w:pPr>
        <w:autoSpaceDE w:val="0"/>
        <w:autoSpaceDN w:val="0"/>
        <w:adjustRightInd w:val="0"/>
        <w:rPr>
          <w:rFonts w:cs="Arial"/>
          <w:u w:val="single"/>
        </w:rPr>
      </w:pPr>
      <w:r>
        <w:rPr>
          <w:rFonts w:cs="Arial"/>
          <w:u w:val="single"/>
        </w:rPr>
        <w:t>A</w:t>
      </w:r>
      <w:r w:rsidR="00320C20">
        <w:rPr>
          <w:rFonts w:cs="Arial"/>
          <w:u w:val="single"/>
        </w:rPr>
        <w:t>nalysis</w:t>
      </w:r>
    </w:p>
    <w:p w:rsidR="00842B7C" w:rsidRPr="00842B7C" w:rsidRDefault="00842B7C" w:rsidP="001B0031">
      <w:pPr>
        <w:autoSpaceDE w:val="0"/>
        <w:autoSpaceDN w:val="0"/>
        <w:adjustRightInd w:val="0"/>
        <w:rPr>
          <w:rFonts w:cs="Arial"/>
          <w:u w:val="single"/>
        </w:rPr>
      </w:pPr>
    </w:p>
    <w:p w:rsidR="00842B7C" w:rsidRDefault="001B0031" w:rsidP="001B0031">
      <w:pPr>
        <w:autoSpaceDE w:val="0"/>
        <w:autoSpaceDN w:val="0"/>
        <w:adjustRightInd w:val="0"/>
        <w:rPr>
          <w:rFonts w:cs="Arial"/>
        </w:rPr>
      </w:pPr>
      <w:r>
        <w:rPr>
          <w:rFonts w:cs="Arial"/>
        </w:rPr>
        <w:t>The State of Delaware prepared a</w:t>
      </w:r>
      <w:r w:rsidRPr="008966A2">
        <w:rPr>
          <w:rFonts w:cs="Arial"/>
        </w:rPr>
        <w:t xml:space="preserve">n analysis of </w:t>
      </w:r>
      <w:r w:rsidRPr="008966A2">
        <w:t>hourly EGU NOx emissions and hourly EGU NOx emission rates during a high ozone period in Delaware</w:t>
      </w:r>
      <w:r w:rsidR="00320C20">
        <w:t>.</w:t>
      </w:r>
      <w:r w:rsidR="005618FE">
        <w:t xml:space="preserve"> </w:t>
      </w:r>
      <w:r w:rsidR="00E9216B">
        <w:rPr>
          <w:rFonts w:cs="Arial"/>
        </w:rPr>
        <w:t xml:space="preserve">The Subgroup </w:t>
      </w:r>
      <w:r>
        <w:rPr>
          <w:rFonts w:cs="Arial"/>
        </w:rPr>
        <w:t xml:space="preserve">prepared a </w:t>
      </w:r>
      <w:r w:rsidRPr="008966A2">
        <w:rPr>
          <w:rFonts w:cs="Arial"/>
        </w:rPr>
        <w:t xml:space="preserve">High Energy Demand Day (HEDD) analysis for the OTC Modeling Domain on: Low Emitting Combustion Turbines (LECTs </w:t>
      </w:r>
      <w:r>
        <w:rPr>
          <w:rFonts w:cs="Arial"/>
        </w:rPr>
        <w:t>with NOx emissions &lt;0.125 lb/mmBtu</w:t>
      </w:r>
      <w:r w:rsidRPr="008966A2">
        <w:rPr>
          <w:rFonts w:cs="Arial"/>
        </w:rPr>
        <w:t>), High Emitting Combustion Turbines (HECTs with</w:t>
      </w:r>
      <w:r>
        <w:rPr>
          <w:rFonts w:cs="Arial"/>
        </w:rPr>
        <w:t xml:space="preserve"> NOx emissions &gt;0.125 lb/mmBtu</w:t>
      </w:r>
      <w:r w:rsidRPr="008966A2">
        <w:rPr>
          <w:rFonts w:cs="Arial"/>
        </w:rPr>
        <w:t>) and</w:t>
      </w:r>
      <w:r w:rsidR="00F34B65">
        <w:rPr>
          <w:rFonts w:cs="Arial"/>
        </w:rPr>
        <w:t xml:space="preserve"> </w:t>
      </w:r>
      <w:r w:rsidRPr="008966A2">
        <w:rPr>
          <w:rFonts w:cs="Arial"/>
        </w:rPr>
        <w:t>coal-fired EGUs with and without SCR controls</w:t>
      </w:r>
      <w:r w:rsidR="007C3B5A">
        <w:rPr>
          <w:rFonts w:cs="Arial"/>
        </w:rPr>
        <w:t xml:space="preserve"> installed</w:t>
      </w:r>
      <w:r>
        <w:rPr>
          <w:rFonts w:cs="Arial"/>
        </w:rPr>
        <w:t xml:space="preserve"> </w:t>
      </w:r>
      <w:r w:rsidRPr="002005B0">
        <w:rPr>
          <w:rFonts w:cs="Arial"/>
        </w:rPr>
        <w:t>during a high ozone period in Delaware &amp; New Jersey</w:t>
      </w:r>
      <w:r w:rsidR="00E9216B">
        <w:rPr>
          <w:rFonts w:cs="Arial"/>
        </w:rPr>
        <w:t>.</w:t>
      </w:r>
      <w:r w:rsidR="00114C47">
        <w:rPr>
          <w:rFonts w:cs="Arial"/>
        </w:rPr>
        <w:t xml:space="preserve">  </w:t>
      </w:r>
    </w:p>
    <w:p w:rsidR="00114C47" w:rsidRPr="003C44A7" w:rsidRDefault="00114C47" w:rsidP="001B0031">
      <w:pPr>
        <w:autoSpaceDE w:val="0"/>
        <w:autoSpaceDN w:val="0"/>
        <w:adjustRightInd w:val="0"/>
        <w:rPr>
          <w:rFonts w:cs="Arial"/>
          <w:u w:val="single"/>
        </w:rPr>
      </w:pPr>
    </w:p>
    <w:p w:rsidR="00842B7C" w:rsidRDefault="00E9216B" w:rsidP="00631A1B">
      <w:pPr>
        <w:autoSpaceDE w:val="0"/>
        <w:autoSpaceDN w:val="0"/>
        <w:adjustRightInd w:val="0"/>
        <w:rPr>
          <w:rFonts w:cs="Arial"/>
          <w:u w:val="single"/>
        </w:rPr>
      </w:pPr>
      <w:bookmarkStart w:id="1" w:name="OLE_LINK6"/>
      <w:r>
        <w:rPr>
          <w:rFonts w:cs="Arial"/>
          <w:u w:val="single"/>
        </w:rPr>
        <w:t>Results</w:t>
      </w:r>
    </w:p>
    <w:p w:rsidR="00842B7C" w:rsidRDefault="00842B7C" w:rsidP="00631A1B">
      <w:pPr>
        <w:autoSpaceDE w:val="0"/>
        <w:autoSpaceDN w:val="0"/>
        <w:adjustRightInd w:val="0"/>
        <w:rPr>
          <w:rFonts w:cs="Arial"/>
          <w:u w:val="single"/>
        </w:rPr>
      </w:pPr>
    </w:p>
    <w:p w:rsidR="005618FE" w:rsidRDefault="005618FE" w:rsidP="005618FE">
      <w:pPr>
        <w:autoSpaceDE w:val="0"/>
        <w:autoSpaceDN w:val="0"/>
        <w:adjustRightInd w:val="0"/>
        <w:rPr>
          <w:rFonts w:cs="Arial"/>
        </w:rPr>
      </w:pPr>
      <w:r>
        <w:rPr>
          <w:rFonts w:cs="Arial"/>
        </w:rPr>
        <w:lastRenderedPageBreak/>
        <w:t>The results of the State of Delaware hourly EGU NOx emissions and hourly NOx emission rates (June 21-22, 2012) study demonstrate EGU NOx emissions varied on an hourly basis with maximum emissions occurring during hour 16 on June 20, 2012.  NOx emission rates from all types of coal-fired EGU also peaked during this time.  The review of the related data also indicated:</w:t>
      </w:r>
    </w:p>
    <w:p w:rsidR="005618FE" w:rsidRDefault="005618FE" w:rsidP="005618FE">
      <w:pPr>
        <w:autoSpaceDE w:val="0"/>
        <w:autoSpaceDN w:val="0"/>
        <w:adjustRightInd w:val="0"/>
        <w:ind w:left="60"/>
        <w:rPr>
          <w:rFonts w:cs="Arial"/>
        </w:rPr>
      </w:pPr>
    </w:p>
    <w:p w:rsidR="005618FE" w:rsidRDefault="005618FE" w:rsidP="005618FE">
      <w:pPr>
        <w:numPr>
          <w:ilvl w:val="0"/>
          <w:numId w:val="23"/>
        </w:numPr>
        <w:autoSpaceDE w:val="0"/>
        <w:autoSpaceDN w:val="0"/>
        <w:adjustRightInd w:val="0"/>
        <w:rPr>
          <w:rFonts w:cs="Arial"/>
        </w:rPr>
      </w:pPr>
      <w:r>
        <w:rPr>
          <w:rFonts w:cs="Arial"/>
        </w:rPr>
        <w:t>Many EGUs were cycled on and off line during the period to meet the grid’s electric demand, including a number of coal-fired EGUs;</w:t>
      </w:r>
    </w:p>
    <w:p w:rsidR="005618FE" w:rsidRDefault="005618FE" w:rsidP="005618FE">
      <w:pPr>
        <w:numPr>
          <w:ilvl w:val="0"/>
          <w:numId w:val="23"/>
        </w:numPr>
        <w:autoSpaceDE w:val="0"/>
        <w:autoSpaceDN w:val="0"/>
        <w:adjustRightInd w:val="0"/>
        <w:rPr>
          <w:rFonts w:cs="Arial"/>
        </w:rPr>
      </w:pPr>
      <w:r>
        <w:rPr>
          <w:rFonts w:cs="Arial"/>
        </w:rPr>
        <w:t>While the period experienced an air quality episode, many EGUs remained off line throughout the period, raising concerns if the electric demand was higher thereby causing additional EGUs to be brought on line;</w:t>
      </w:r>
    </w:p>
    <w:p w:rsidR="005618FE" w:rsidRDefault="005618FE" w:rsidP="005618FE">
      <w:pPr>
        <w:numPr>
          <w:ilvl w:val="0"/>
          <w:numId w:val="23"/>
        </w:numPr>
        <w:autoSpaceDE w:val="0"/>
        <w:autoSpaceDN w:val="0"/>
        <w:adjustRightInd w:val="0"/>
        <w:rPr>
          <w:rFonts w:cs="Arial"/>
        </w:rPr>
      </w:pPr>
      <w:r>
        <w:rPr>
          <w:rFonts w:cs="Arial"/>
        </w:rPr>
        <w:t>The NOx emission rates from a number of EGUs were much greater than would be expected relative to the NOx controls reported to be installed on those units;</w:t>
      </w:r>
    </w:p>
    <w:p w:rsidR="005618FE" w:rsidRDefault="005618FE" w:rsidP="005618FE">
      <w:pPr>
        <w:numPr>
          <w:ilvl w:val="0"/>
          <w:numId w:val="23"/>
        </w:numPr>
        <w:autoSpaceDE w:val="0"/>
        <w:autoSpaceDN w:val="0"/>
        <w:adjustRightInd w:val="0"/>
        <w:rPr>
          <w:rFonts w:cs="Arial"/>
        </w:rPr>
      </w:pPr>
      <w:r>
        <w:rPr>
          <w:rFonts w:cs="Arial"/>
        </w:rPr>
        <w:t>During hour 16, for states subject to the CAIR ozone season NOx program, coal- and natural gas-fired EGUs were responsible for the greatest heat input, with coal-fired EG</w:t>
      </w:r>
      <w:r w:rsidRPr="001D1C0F">
        <w:rPr>
          <w:rFonts w:cs="Arial"/>
        </w:rPr>
        <w:t>U</w:t>
      </w:r>
      <w:r w:rsidR="00D626BC" w:rsidRPr="001D1C0F">
        <w:rPr>
          <w:rFonts w:cs="Arial"/>
        </w:rPr>
        <w:t>s</w:t>
      </w:r>
      <w:r>
        <w:rPr>
          <w:rFonts w:cs="Arial"/>
        </w:rPr>
        <w:t xml:space="preserve"> contributing approximately 79% and natural gas-fired EGUs contributing approximately 15% of the total NOx mass emissions.</w:t>
      </w:r>
    </w:p>
    <w:p w:rsidR="008854B5" w:rsidRDefault="008854B5" w:rsidP="008854B5">
      <w:pPr>
        <w:autoSpaceDE w:val="0"/>
        <w:autoSpaceDN w:val="0"/>
        <w:adjustRightInd w:val="0"/>
        <w:rPr>
          <w:rFonts w:cs="Arial"/>
        </w:rPr>
      </w:pPr>
    </w:p>
    <w:p w:rsidR="006B4518" w:rsidRDefault="006B4518" w:rsidP="007C3B5A">
      <w:pPr>
        <w:autoSpaceDE w:val="0"/>
        <w:autoSpaceDN w:val="0"/>
        <w:adjustRightInd w:val="0"/>
        <w:jc w:val="center"/>
        <w:rPr>
          <w:rFonts w:cs="Arial"/>
          <w:b/>
        </w:rPr>
      </w:pPr>
      <w:bookmarkStart w:id="2" w:name="OLE_LINK4"/>
      <w:bookmarkEnd w:id="1"/>
    </w:p>
    <w:p w:rsidR="006B4518" w:rsidRDefault="006B4518" w:rsidP="007C3B5A">
      <w:pPr>
        <w:autoSpaceDE w:val="0"/>
        <w:autoSpaceDN w:val="0"/>
        <w:adjustRightInd w:val="0"/>
        <w:jc w:val="center"/>
        <w:rPr>
          <w:rFonts w:cs="Arial"/>
          <w:b/>
        </w:rPr>
      </w:pPr>
    </w:p>
    <w:p w:rsidR="006B4518" w:rsidRDefault="006B4518" w:rsidP="007C3B5A">
      <w:pPr>
        <w:autoSpaceDE w:val="0"/>
        <w:autoSpaceDN w:val="0"/>
        <w:adjustRightInd w:val="0"/>
        <w:jc w:val="center"/>
        <w:rPr>
          <w:rFonts w:cs="Arial"/>
          <w:b/>
        </w:rPr>
      </w:pPr>
    </w:p>
    <w:p w:rsidR="006B4518" w:rsidRDefault="006B4518" w:rsidP="007C3B5A">
      <w:pPr>
        <w:autoSpaceDE w:val="0"/>
        <w:autoSpaceDN w:val="0"/>
        <w:adjustRightInd w:val="0"/>
        <w:jc w:val="center"/>
        <w:rPr>
          <w:rFonts w:cs="Arial"/>
          <w:b/>
        </w:rPr>
      </w:pPr>
    </w:p>
    <w:p w:rsidR="006B4518" w:rsidRDefault="006B4518" w:rsidP="007C3B5A">
      <w:pPr>
        <w:autoSpaceDE w:val="0"/>
        <w:autoSpaceDN w:val="0"/>
        <w:adjustRightInd w:val="0"/>
        <w:jc w:val="center"/>
        <w:rPr>
          <w:rFonts w:cs="Arial"/>
          <w:b/>
        </w:rPr>
      </w:pPr>
    </w:p>
    <w:p w:rsidR="006B4518" w:rsidRDefault="006B4518" w:rsidP="007C3B5A">
      <w:pPr>
        <w:autoSpaceDE w:val="0"/>
        <w:autoSpaceDN w:val="0"/>
        <w:adjustRightInd w:val="0"/>
        <w:jc w:val="center"/>
        <w:rPr>
          <w:rFonts w:cs="Arial"/>
          <w:b/>
        </w:rPr>
      </w:pPr>
    </w:p>
    <w:p w:rsidR="00880EAA" w:rsidRPr="00880EAA" w:rsidRDefault="009633F5" w:rsidP="007C3B5A">
      <w:pPr>
        <w:autoSpaceDE w:val="0"/>
        <w:autoSpaceDN w:val="0"/>
        <w:adjustRightInd w:val="0"/>
        <w:jc w:val="center"/>
        <w:rPr>
          <w:rFonts w:cs="Arial"/>
          <w:b/>
        </w:rPr>
      </w:pPr>
      <w:r w:rsidRPr="00880EAA">
        <w:rPr>
          <w:rFonts w:cs="Arial"/>
          <w:b/>
        </w:rPr>
        <w:t xml:space="preserve">State of Delaware hourly EGU NOx emissions and hourly NOx emission rates </w:t>
      </w:r>
    </w:p>
    <w:p w:rsidR="007C3B5A" w:rsidRPr="001B55CC" w:rsidRDefault="009633F5" w:rsidP="007C3B5A">
      <w:pPr>
        <w:autoSpaceDE w:val="0"/>
        <w:autoSpaceDN w:val="0"/>
        <w:adjustRightInd w:val="0"/>
        <w:jc w:val="center"/>
        <w:rPr>
          <w:rFonts w:cs="Arial"/>
          <w:b/>
        </w:rPr>
      </w:pPr>
      <w:r w:rsidRPr="001B55CC">
        <w:rPr>
          <w:rFonts w:cs="Arial"/>
          <w:b/>
        </w:rPr>
        <w:t>(June 21-22, 2012)</w:t>
      </w:r>
      <w:r w:rsidR="006A3111" w:rsidRPr="001B55CC">
        <w:rPr>
          <w:rFonts w:cs="Arial"/>
          <w:b/>
        </w:rPr>
        <w:t xml:space="preserve"> </w:t>
      </w:r>
    </w:p>
    <w:p w:rsidR="007C3B5A" w:rsidRDefault="007C3B5A" w:rsidP="007C3B5A">
      <w:pPr>
        <w:autoSpaceDE w:val="0"/>
        <w:autoSpaceDN w:val="0"/>
        <w:adjustRightInd w:val="0"/>
        <w:jc w:val="center"/>
        <w:rPr>
          <w:rFonts w:cs="Arial"/>
        </w:rPr>
      </w:pPr>
    </w:p>
    <w:p w:rsidR="007C3B5A" w:rsidRDefault="00DB16B8" w:rsidP="007C3B5A">
      <w:pPr>
        <w:autoSpaceDE w:val="0"/>
        <w:autoSpaceDN w:val="0"/>
        <w:adjustRightInd w:val="0"/>
        <w:jc w:val="center"/>
        <w:rPr>
          <w:rFonts w:cs="Arial"/>
        </w:rPr>
      </w:pPr>
      <w:r>
        <w:rPr>
          <w:rFonts w:cs="Arial"/>
          <w:noProof/>
        </w:rPr>
        <w:drawing>
          <wp:inline distT="0" distB="0" distL="0" distR="0">
            <wp:extent cx="4210050" cy="2914650"/>
            <wp:effectExtent l="19050" t="0" r="0" b="0"/>
            <wp:docPr id="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7C3B5A" w:rsidRDefault="007C3B5A" w:rsidP="007C3B5A">
      <w:pPr>
        <w:autoSpaceDE w:val="0"/>
        <w:autoSpaceDN w:val="0"/>
        <w:adjustRightInd w:val="0"/>
        <w:jc w:val="center"/>
        <w:rPr>
          <w:rFonts w:cs="Arial"/>
        </w:rPr>
      </w:pPr>
    </w:p>
    <w:bookmarkEnd w:id="2"/>
    <w:p w:rsidR="00F34B65" w:rsidRDefault="00F34B65" w:rsidP="00F34B65">
      <w:pPr>
        <w:autoSpaceDE w:val="0"/>
        <w:autoSpaceDN w:val="0"/>
        <w:adjustRightInd w:val="0"/>
        <w:jc w:val="center"/>
        <w:rPr>
          <w:rFonts w:cs="Arial"/>
        </w:rPr>
      </w:pPr>
    </w:p>
    <w:p w:rsidR="00F34B65" w:rsidRDefault="00F34B65" w:rsidP="00F34B65">
      <w:pPr>
        <w:autoSpaceDE w:val="0"/>
        <w:autoSpaceDN w:val="0"/>
        <w:adjustRightInd w:val="0"/>
        <w:jc w:val="center"/>
        <w:rPr>
          <w:rFonts w:cs="Arial"/>
        </w:rPr>
      </w:pPr>
    </w:p>
    <w:p w:rsidR="00F34B65" w:rsidRDefault="00F34B65" w:rsidP="00CC0901">
      <w:pPr>
        <w:autoSpaceDE w:val="0"/>
        <w:autoSpaceDN w:val="0"/>
        <w:adjustRightInd w:val="0"/>
        <w:rPr>
          <w:rFonts w:cs="Arial"/>
        </w:rPr>
      </w:pPr>
    </w:p>
    <w:p w:rsidR="003516F2" w:rsidRDefault="003516F2" w:rsidP="00CC0901">
      <w:pPr>
        <w:autoSpaceDE w:val="0"/>
        <w:autoSpaceDN w:val="0"/>
        <w:adjustRightInd w:val="0"/>
        <w:rPr>
          <w:rFonts w:cs="Arial"/>
        </w:rPr>
      </w:pPr>
    </w:p>
    <w:p w:rsidR="003516F2" w:rsidRDefault="003516F2" w:rsidP="00CC0901">
      <w:pPr>
        <w:autoSpaceDE w:val="0"/>
        <w:autoSpaceDN w:val="0"/>
        <w:adjustRightInd w:val="0"/>
        <w:rPr>
          <w:rFonts w:cs="Arial"/>
        </w:rPr>
      </w:pPr>
    </w:p>
    <w:p w:rsidR="003516F2" w:rsidRDefault="003516F2" w:rsidP="00CC0901">
      <w:pPr>
        <w:autoSpaceDE w:val="0"/>
        <w:autoSpaceDN w:val="0"/>
        <w:adjustRightInd w:val="0"/>
        <w:rPr>
          <w:rFonts w:cs="Arial"/>
        </w:rPr>
      </w:pPr>
    </w:p>
    <w:p w:rsidR="00F34B65" w:rsidRDefault="00F34B65" w:rsidP="00F34B65">
      <w:pPr>
        <w:autoSpaceDE w:val="0"/>
        <w:autoSpaceDN w:val="0"/>
        <w:adjustRightInd w:val="0"/>
        <w:jc w:val="center"/>
        <w:rPr>
          <w:rFonts w:cs="Arial"/>
        </w:rPr>
      </w:pPr>
    </w:p>
    <w:p w:rsidR="00E61634" w:rsidRPr="001B55CC" w:rsidRDefault="00F34B65" w:rsidP="00F34B65">
      <w:pPr>
        <w:autoSpaceDE w:val="0"/>
        <w:autoSpaceDN w:val="0"/>
        <w:adjustRightInd w:val="0"/>
        <w:jc w:val="center"/>
        <w:rPr>
          <w:rFonts w:cs="Arial"/>
          <w:b/>
        </w:rPr>
      </w:pPr>
      <w:r w:rsidRPr="001B55CC">
        <w:rPr>
          <w:rFonts w:cs="Arial"/>
          <w:b/>
        </w:rPr>
        <w:t xml:space="preserve">Hourly NOx Rate on 06.20.12 for hour 16- Operating Coal Units for Connecticut, Delaware, Illinois, Indiana, Kentucky, Maryland, Michigan, New Jersey, New York, Ohio, Pennsylvania, Tennessee </w:t>
      </w:r>
    </w:p>
    <w:p w:rsidR="00F34B65" w:rsidRDefault="00F34B65" w:rsidP="00F34B65">
      <w:pPr>
        <w:autoSpaceDE w:val="0"/>
        <w:autoSpaceDN w:val="0"/>
        <w:adjustRightInd w:val="0"/>
        <w:jc w:val="center"/>
        <w:rPr>
          <w:rFonts w:cs="Arial"/>
        </w:rPr>
      </w:pPr>
    </w:p>
    <w:p w:rsidR="00F34B65" w:rsidRDefault="00DB16B8" w:rsidP="00F34B65">
      <w:pPr>
        <w:autoSpaceDE w:val="0"/>
        <w:autoSpaceDN w:val="0"/>
        <w:adjustRightInd w:val="0"/>
        <w:jc w:val="center"/>
        <w:rPr>
          <w:rFonts w:cs="Arial"/>
        </w:rPr>
      </w:pPr>
      <w:r>
        <w:rPr>
          <w:rFonts w:cs="Arial"/>
          <w:noProof/>
        </w:rPr>
        <w:drawing>
          <wp:inline distT="0" distB="0" distL="0" distR="0">
            <wp:extent cx="5105400" cy="2495550"/>
            <wp:effectExtent l="19050" t="0" r="0" b="0"/>
            <wp:docPr id="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srcRect/>
                    <a:stretch>
                      <a:fillRect/>
                    </a:stretch>
                  </pic:blipFill>
                  <pic:spPr bwMode="auto">
                    <a:xfrm>
                      <a:off x="0" y="0"/>
                      <a:ext cx="5105400" cy="2495550"/>
                    </a:xfrm>
                    <a:prstGeom prst="rect">
                      <a:avLst/>
                    </a:prstGeom>
                    <a:noFill/>
                    <a:ln w="9525">
                      <a:noFill/>
                      <a:miter lim="800000"/>
                      <a:headEnd/>
                      <a:tailEnd/>
                    </a:ln>
                  </pic:spPr>
                </pic:pic>
              </a:graphicData>
            </a:graphic>
          </wp:inline>
        </w:drawing>
      </w:r>
    </w:p>
    <w:p w:rsidR="00DE63C0" w:rsidRDefault="00DE63C0" w:rsidP="00C71A63">
      <w:pPr>
        <w:autoSpaceDE w:val="0"/>
        <w:autoSpaceDN w:val="0"/>
        <w:adjustRightInd w:val="0"/>
        <w:jc w:val="center"/>
        <w:rPr>
          <w:rFonts w:cs="Arial"/>
        </w:rPr>
      </w:pPr>
    </w:p>
    <w:p w:rsidR="00DE63C0" w:rsidRDefault="00DE63C0" w:rsidP="00C71A63">
      <w:pPr>
        <w:autoSpaceDE w:val="0"/>
        <w:autoSpaceDN w:val="0"/>
        <w:adjustRightInd w:val="0"/>
        <w:jc w:val="center"/>
        <w:rPr>
          <w:rFonts w:cs="Arial"/>
        </w:rPr>
      </w:pPr>
    </w:p>
    <w:p w:rsidR="00DE63C0" w:rsidRDefault="00DE63C0" w:rsidP="00CC0901">
      <w:pPr>
        <w:autoSpaceDE w:val="0"/>
        <w:autoSpaceDN w:val="0"/>
        <w:adjustRightInd w:val="0"/>
        <w:rPr>
          <w:rFonts w:cs="Arial"/>
        </w:rPr>
      </w:pPr>
    </w:p>
    <w:p w:rsidR="006A6A2E" w:rsidRDefault="006A6A2E" w:rsidP="00440368">
      <w:pPr>
        <w:autoSpaceDE w:val="0"/>
        <w:autoSpaceDN w:val="0"/>
        <w:adjustRightInd w:val="0"/>
        <w:rPr>
          <w:rFonts w:cs="Arial"/>
        </w:rPr>
      </w:pPr>
      <w:r>
        <w:rPr>
          <w:rFonts w:cs="Arial"/>
        </w:rPr>
        <w:t xml:space="preserve">Results of </w:t>
      </w:r>
      <w:r w:rsidR="005618FE">
        <w:rPr>
          <w:rFonts w:cs="Arial"/>
        </w:rPr>
        <w:t>Subgroup</w:t>
      </w:r>
      <w:r>
        <w:rPr>
          <w:rFonts w:cs="Arial"/>
        </w:rPr>
        <w:t xml:space="preserve"> </w:t>
      </w:r>
      <w:r w:rsidRPr="008966A2">
        <w:rPr>
          <w:rFonts w:cs="Arial"/>
        </w:rPr>
        <w:t xml:space="preserve">HEDD analysis for the OTC Modeling Domain on: Low Emitting Combustion Turbines (LECTs </w:t>
      </w:r>
      <w:r>
        <w:rPr>
          <w:rFonts w:cs="Arial"/>
        </w:rPr>
        <w:t>with NOx emissions &lt;0.125 lb/mmBtu</w:t>
      </w:r>
      <w:r w:rsidRPr="008966A2">
        <w:rPr>
          <w:rFonts w:cs="Arial"/>
        </w:rPr>
        <w:t>), High Emitting Combustion Turbines (HECTs with</w:t>
      </w:r>
      <w:r>
        <w:rPr>
          <w:rFonts w:cs="Arial"/>
        </w:rPr>
        <w:t xml:space="preserve"> NOx emissions &gt;0.125 lb/mmBtu</w:t>
      </w:r>
      <w:r w:rsidRPr="008966A2">
        <w:rPr>
          <w:rFonts w:cs="Arial"/>
        </w:rPr>
        <w:t>) and coal-fired EGUs with and without SCR controls</w:t>
      </w:r>
      <w:r w:rsidR="006A3111">
        <w:rPr>
          <w:rFonts w:cs="Arial"/>
        </w:rPr>
        <w:t xml:space="preserve"> are presented in the following </w:t>
      </w:r>
      <w:r w:rsidR="00344B03">
        <w:rPr>
          <w:rFonts w:cs="Arial"/>
        </w:rPr>
        <w:t>graphs</w:t>
      </w:r>
      <w:r w:rsidR="006A3111">
        <w:rPr>
          <w:rFonts w:cs="Arial"/>
        </w:rPr>
        <w:t>.</w:t>
      </w:r>
    </w:p>
    <w:p w:rsidR="006A6A2E" w:rsidRDefault="006A6A2E" w:rsidP="00631A1B">
      <w:pPr>
        <w:autoSpaceDE w:val="0"/>
        <w:autoSpaceDN w:val="0"/>
        <w:adjustRightInd w:val="0"/>
        <w:rPr>
          <w:rFonts w:cs="Arial"/>
        </w:rPr>
      </w:pPr>
    </w:p>
    <w:p w:rsidR="00F34B65" w:rsidRDefault="00DB16B8" w:rsidP="00F34B65">
      <w:pPr>
        <w:autoSpaceDE w:val="0"/>
        <w:autoSpaceDN w:val="0"/>
        <w:adjustRightInd w:val="0"/>
        <w:jc w:val="center"/>
        <w:rPr>
          <w:rFonts w:cs="Arial"/>
        </w:rPr>
      </w:pPr>
      <w:r>
        <w:rPr>
          <w:rFonts w:cs="Arial"/>
          <w:noProof/>
        </w:rPr>
        <w:lastRenderedPageBreak/>
        <w:drawing>
          <wp:inline distT="0" distB="0" distL="0" distR="0">
            <wp:extent cx="4572000" cy="3429000"/>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F34B65" w:rsidRDefault="00DB16B8" w:rsidP="00F34B65">
      <w:pPr>
        <w:autoSpaceDE w:val="0"/>
        <w:autoSpaceDN w:val="0"/>
        <w:adjustRightInd w:val="0"/>
        <w:jc w:val="center"/>
        <w:rPr>
          <w:rFonts w:cs="Arial"/>
        </w:rPr>
      </w:pPr>
      <w:r>
        <w:rPr>
          <w:rFonts w:cs="Arial"/>
          <w:noProof/>
        </w:rPr>
        <w:drawing>
          <wp:inline distT="0" distB="0" distL="0" distR="0">
            <wp:extent cx="4572000" cy="3429000"/>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6A6A2E" w:rsidRDefault="006A6A2E" w:rsidP="00631A1B">
      <w:pPr>
        <w:autoSpaceDE w:val="0"/>
        <w:autoSpaceDN w:val="0"/>
        <w:adjustRightInd w:val="0"/>
        <w:rPr>
          <w:rFonts w:cs="Arial"/>
        </w:rPr>
      </w:pPr>
    </w:p>
    <w:p w:rsidR="006A6A2E" w:rsidRPr="007367AB" w:rsidRDefault="006A6A2E" w:rsidP="00631A1B">
      <w:pPr>
        <w:autoSpaceDE w:val="0"/>
        <w:autoSpaceDN w:val="0"/>
        <w:adjustRightInd w:val="0"/>
        <w:rPr>
          <w:rFonts w:cs="Arial"/>
          <w:b/>
          <w:color w:val="FF0000"/>
          <w:u w:val="single"/>
        </w:rPr>
      </w:pPr>
    </w:p>
    <w:p w:rsidR="00BB3376" w:rsidRPr="00C71A63" w:rsidRDefault="00C41467" w:rsidP="005178DB">
      <w:pPr>
        <w:numPr>
          <w:ilvl w:val="0"/>
          <w:numId w:val="33"/>
        </w:numPr>
        <w:autoSpaceDE w:val="0"/>
        <w:autoSpaceDN w:val="0"/>
        <w:adjustRightInd w:val="0"/>
        <w:rPr>
          <w:rFonts w:cs="Arial"/>
          <w:b/>
          <w:u w:val="single"/>
        </w:rPr>
      </w:pPr>
      <w:bookmarkStart w:id="3" w:name="OLE_LINK3"/>
      <w:r w:rsidRPr="00C71A63">
        <w:rPr>
          <w:rFonts w:cs="Arial"/>
          <w:b/>
          <w:u w:val="single"/>
        </w:rPr>
        <w:t xml:space="preserve">Analysis </w:t>
      </w:r>
      <w:r w:rsidR="00636FC7" w:rsidRPr="00C71A63">
        <w:rPr>
          <w:rFonts w:cs="Arial"/>
          <w:b/>
          <w:u w:val="single"/>
        </w:rPr>
        <w:t>3</w:t>
      </w:r>
      <w:r w:rsidR="003C44A7" w:rsidRPr="00C71A63">
        <w:rPr>
          <w:rFonts w:cs="Arial"/>
          <w:b/>
          <w:u w:val="single"/>
        </w:rPr>
        <w:t>:</w:t>
      </w:r>
      <w:r w:rsidR="007A6242" w:rsidRPr="00C71A63">
        <w:rPr>
          <w:rFonts w:cs="Arial"/>
          <w:b/>
          <w:u w:val="single"/>
        </w:rPr>
        <w:t xml:space="preserve"> </w:t>
      </w:r>
      <w:bookmarkEnd w:id="3"/>
      <w:r w:rsidR="00C71A63" w:rsidRPr="00C71A63">
        <w:rPr>
          <w:rFonts w:cs="Arial"/>
          <w:b/>
          <w:u w:val="single"/>
        </w:rPr>
        <w:t>Short Term Daily EGU NOx Emissions</w:t>
      </w:r>
    </w:p>
    <w:p w:rsidR="00FC1242" w:rsidRDefault="00FC1242" w:rsidP="00631A1B">
      <w:pPr>
        <w:autoSpaceDE w:val="0"/>
        <w:autoSpaceDN w:val="0"/>
        <w:adjustRightInd w:val="0"/>
        <w:rPr>
          <w:rFonts w:cs="Arial"/>
          <w:b/>
          <w:u w:val="double"/>
        </w:rPr>
      </w:pPr>
    </w:p>
    <w:p w:rsidR="00FC1242" w:rsidRPr="00C71A63" w:rsidRDefault="00FC1242" w:rsidP="00631A1B">
      <w:pPr>
        <w:autoSpaceDE w:val="0"/>
        <w:autoSpaceDN w:val="0"/>
        <w:adjustRightInd w:val="0"/>
        <w:rPr>
          <w:rFonts w:cs="Arial"/>
          <w:u w:val="single"/>
        </w:rPr>
      </w:pPr>
      <w:r w:rsidRPr="00C71A63">
        <w:rPr>
          <w:rFonts w:cs="Arial"/>
          <w:u w:val="single"/>
        </w:rPr>
        <w:t>Analysis</w:t>
      </w:r>
    </w:p>
    <w:p w:rsidR="00344B03" w:rsidRDefault="00344B03" w:rsidP="00326305"/>
    <w:p w:rsidR="00326305" w:rsidRPr="008966A2" w:rsidRDefault="00B55458" w:rsidP="00326305">
      <w:r>
        <w:t>A</w:t>
      </w:r>
      <w:r w:rsidR="00326305" w:rsidRPr="008966A2">
        <w:t>n update of</w:t>
      </w:r>
      <w:r>
        <w:t xml:space="preserve"> a</w:t>
      </w:r>
      <w:r w:rsidR="00326305" w:rsidRPr="008966A2">
        <w:t xml:space="preserve"> previous analysis </w:t>
      </w:r>
      <w:r>
        <w:t xml:space="preserve">done in </w:t>
      </w:r>
      <w:r w:rsidR="00326305">
        <w:t>2007</w:t>
      </w:r>
      <w:r>
        <w:t xml:space="preserve"> for</w:t>
      </w:r>
      <w:r w:rsidR="00326305">
        <w:t xml:space="preserve"> daily NOx </w:t>
      </w:r>
      <w:r w:rsidR="00326305" w:rsidRPr="008966A2">
        <w:t>emissions</w:t>
      </w:r>
      <w:r w:rsidR="00326305">
        <w:t xml:space="preserve"> by </w:t>
      </w:r>
      <w:r w:rsidR="00326305" w:rsidRPr="008966A2">
        <w:t xml:space="preserve">fuel type and </w:t>
      </w:r>
      <w:r w:rsidR="00326305">
        <w:t xml:space="preserve">maximum daily </w:t>
      </w:r>
      <w:r w:rsidR="00326305" w:rsidRPr="008966A2">
        <w:t>temperature</w:t>
      </w:r>
      <w:r w:rsidR="00326305">
        <w:t xml:space="preserve"> for EGUs located in the OTR and Lake Michigan Air Directors Consortium (</w:t>
      </w:r>
      <w:r w:rsidR="00326305" w:rsidRPr="00712702">
        <w:t>LADCO) states</w:t>
      </w:r>
      <w:r w:rsidR="00D626BC" w:rsidRPr="00712702">
        <w:t xml:space="preserve"> was performed.</w:t>
      </w:r>
    </w:p>
    <w:p w:rsidR="003C44A7" w:rsidRPr="003C44A7" w:rsidRDefault="003C44A7" w:rsidP="00631A1B">
      <w:pPr>
        <w:autoSpaceDE w:val="0"/>
        <w:autoSpaceDN w:val="0"/>
        <w:adjustRightInd w:val="0"/>
        <w:rPr>
          <w:rFonts w:cs="Arial"/>
          <w:u w:val="single"/>
        </w:rPr>
      </w:pPr>
    </w:p>
    <w:p w:rsidR="00C07AAA" w:rsidRDefault="00C07AAA" w:rsidP="00C07AAA">
      <w:pPr>
        <w:rPr>
          <w:color w:val="1F497D"/>
          <w:sz w:val="22"/>
          <w:szCs w:val="22"/>
        </w:rPr>
      </w:pPr>
      <w:r>
        <w:rPr>
          <w:rFonts w:cs="Arial"/>
        </w:rPr>
        <w:t xml:space="preserve">The </w:t>
      </w:r>
      <w:r w:rsidR="00B55458">
        <w:rPr>
          <w:rFonts w:cs="Arial"/>
        </w:rPr>
        <w:t>total</w:t>
      </w:r>
      <w:r>
        <w:rPr>
          <w:rFonts w:cs="Arial"/>
        </w:rPr>
        <w:t xml:space="preserve"> d</w:t>
      </w:r>
      <w:r w:rsidRPr="003C44A7">
        <w:rPr>
          <w:rFonts w:cs="Arial"/>
        </w:rPr>
        <w:t xml:space="preserve">aily EGU NOx </w:t>
      </w:r>
      <w:r w:rsidR="00B55458" w:rsidRPr="003C44A7">
        <w:rPr>
          <w:rFonts w:cs="Arial"/>
        </w:rPr>
        <w:t>emission for each fuel type was</w:t>
      </w:r>
      <w:r w:rsidRPr="003C44A7">
        <w:rPr>
          <w:rFonts w:cs="Arial"/>
        </w:rPr>
        <w:t xml:space="preserve"> calculated to </w:t>
      </w:r>
      <w:r w:rsidR="00B55458">
        <w:rPr>
          <w:rFonts w:cs="Arial"/>
        </w:rPr>
        <w:t xml:space="preserve">determine </w:t>
      </w:r>
      <w:r w:rsidRPr="003C44A7">
        <w:rPr>
          <w:rFonts w:cs="Arial"/>
        </w:rPr>
        <w:t xml:space="preserve">each </w:t>
      </w:r>
      <w:r>
        <w:rPr>
          <w:rFonts w:cs="Arial"/>
        </w:rPr>
        <w:t xml:space="preserve">fuel-type’s </w:t>
      </w:r>
      <w:r w:rsidRPr="003C44A7">
        <w:rPr>
          <w:rFonts w:cs="Arial"/>
        </w:rPr>
        <w:t>contribution to daily regional NOx emissions.</w:t>
      </w:r>
      <w:r w:rsidR="00B55458">
        <w:rPr>
          <w:rFonts w:cs="Arial"/>
        </w:rPr>
        <w:t xml:space="preserve"> The</w:t>
      </w:r>
      <w:r w:rsidR="00B55458" w:rsidRPr="003C44A7">
        <w:rPr>
          <w:rFonts w:cs="Arial"/>
        </w:rPr>
        <w:t xml:space="preserve"> 2011</w:t>
      </w:r>
      <w:r w:rsidRPr="003C44A7">
        <w:rPr>
          <w:rFonts w:cs="Arial"/>
        </w:rPr>
        <w:t xml:space="preserve"> </w:t>
      </w:r>
      <w:r>
        <w:rPr>
          <w:rFonts w:cs="Arial"/>
        </w:rPr>
        <w:t xml:space="preserve">unit-level </w:t>
      </w:r>
      <w:r w:rsidRPr="003C44A7">
        <w:rPr>
          <w:rFonts w:cs="Arial"/>
        </w:rPr>
        <w:t xml:space="preserve">EGU NOx </w:t>
      </w:r>
      <w:r>
        <w:rPr>
          <w:rFonts w:cs="Arial"/>
        </w:rPr>
        <w:t>emissions</w:t>
      </w:r>
      <w:r w:rsidR="00B55458">
        <w:rPr>
          <w:rFonts w:cs="Arial"/>
        </w:rPr>
        <w:t xml:space="preserve"> </w:t>
      </w:r>
      <w:r w:rsidRPr="003C44A7">
        <w:rPr>
          <w:rFonts w:cs="Arial"/>
        </w:rPr>
        <w:t>data was downloaded</w:t>
      </w:r>
      <w:r>
        <w:rPr>
          <w:rFonts w:cs="Arial"/>
        </w:rPr>
        <w:t xml:space="preserve"> for each state </w:t>
      </w:r>
      <w:r w:rsidRPr="003C44A7">
        <w:rPr>
          <w:rFonts w:cs="Arial"/>
        </w:rPr>
        <w:t xml:space="preserve">from EPA’s </w:t>
      </w:r>
      <w:r w:rsidR="00FC1242">
        <w:rPr>
          <w:rFonts w:cs="Arial"/>
        </w:rPr>
        <w:t xml:space="preserve">AMPD </w:t>
      </w:r>
      <w:r w:rsidRPr="003C44A7">
        <w:rPr>
          <w:rFonts w:cs="Arial"/>
        </w:rPr>
        <w:t>website</w:t>
      </w:r>
      <w:r w:rsidR="00741640">
        <w:rPr>
          <w:rStyle w:val="FootnoteReference"/>
          <w:rFonts w:cs="Arial"/>
        </w:rPr>
        <w:footnoteReference w:id="4"/>
      </w:r>
      <w:r w:rsidR="00B55458">
        <w:rPr>
          <w:rFonts w:cs="Arial"/>
        </w:rPr>
        <w:t>.</w:t>
      </w:r>
      <w:r w:rsidRPr="003C44A7">
        <w:rPr>
          <w:rFonts w:cs="Arial"/>
        </w:rPr>
        <w:t xml:space="preserve"> </w:t>
      </w:r>
      <w:r>
        <w:t>The unit-level NOx emissions data was summed by state and fuel type for each ozone-season day (</w:t>
      </w:r>
      <w:r w:rsidRPr="008966A2">
        <w:t>May 1, 2011 through September 30, 2011</w:t>
      </w:r>
      <w:r>
        <w:t xml:space="preserve">).  The state-level NOx emissions for the OTC </w:t>
      </w:r>
      <w:r w:rsidR="00B55458">
        <w:t xml:space="preserve">and LADCO </w:t>
      </w:r>
      <w:r>
        <w:t>states w</w:t>
      </w:r>
      <w:r w:rsidR="00B55458">
        <w:t>as</w:t>
      </w:r>
      <w:r>
        <w:t xml:space="preserve"> then </w:t>
      </w:r>
      <w:r w:rsidR="00B55458">
        <w:t xml:space="preserve">totaled </w:t>
      </w:r>
      <w:r>
        <w:t xml:space="preserve">by fuel type and the contribution to daily regional NOx emissions of each fuel type was graphed for the OTC and LADCO states. </w:t>
      </w:r>
      <w:r w:rsidRPr="008966A2">
        <w:t xml:space="preserve">The temperature data </w:t>
      </w:r>
      <w:r w:rsidR="00B55458">
        <w:t>was obtained</w:t>
      </w:r>
      <w:r w:rsidR="00B55458" w:rsidRPr="008966A2">
        <w:t xml:space="preserve"> </w:t>
      </w:r>
      <w:r w:rsidRPr="008966A2">
        <w:t xml:space="preserve">from </w:t>
      </w:r>
      <w:r>
        <w:t>the National Oceanic and Atmospheric Administration (</w:t>
      </w:r>
      <w:r w:rsidRPr="008966A2">
        <w:t>NOAA</w:t>
      </w:r>
      <w:r>
        <w:t>)</w:t>
      </w:r>
      <w:r w:rsidR="00741640">
        <w:rPr>
          <w:rStyle w:val="FootnoteReference"/>
        </w:rPr>
        <w:footnoteReference w:id="5"/>
      </w:r>
      <w:r>
        <w:rPr>
          <w:color w:val="1F497D"/>
          <w:sz w:val="22"/>
          <w:szCs w:val="22"/>
        </w:rPr>
        <w:t xml:space="preserve"> </w:t>
      </w:r>
      <w:r>
        <w:t>website.</w:t>
      </w:r>
    </w:p>
    <w:p w:rsidR="00BB3376" w:rsidRPr="003C44A7" w:rsidRDefault="00BB3376" w:rsidP="00631A1B">
      <w:pPr>
        <w:autoSpaceDE w:val="0"/>
        <w:autoSpaceDN w:val="0"/>
        <w:adjustRightInd w:val="0"/>
        <w:rPr>
          <w:rFonts w:cs="Arial"/>
          <w:u w:val="single"/>
        </w:rPr>
      </w:pPr>
    </w:p>
    <w:p w:rsidR="008854B5" w:rsidRDefault="006A6A2E" w:rsidP="0035783F">
      <w:pPr>
        <w:rPr>
          <w:rFonts w:cs="Arial"/>
          <w:u w:val="single"/>
        </w:rPr>
      </w:pPr>
      <w:r>
        <w:rPr>
          <w:rFonts w:cs="Arial"/>
          <w:u w:val="single"/>
        </w:rPr>
        <w:t>R</w:t>
      </w:r>
      <w:r w:rsidR="00FC1242">
        <w:rPr>
          <w:rFonts w:cs="Arial"/>
          <w:u w:val="single"/>
        </w:rPr>
        <w:t>esults</w:t>
      </w:r>
    </w:p>
    <w:p w:rsidR="00FC1242" w:rsidRDefault="00FC1242" w:rsidP="0035783F">
      <w:pPr>
        <w:rPr>
          <w:rFonts w:cs="Arial"/>
          <w:u w:val="single"/>
        </w:rPr>
      </w:pPr>
    </w:p>
    <w:p w:rsidR="008854B5" w:rsidRDefault="008854B5" w:rsidP="008854B5">
      <w:pPr>
        <w:autoSpaceDE w:val="0"/>
        <w:autoSpaceDN w:val="0"/>
        <w:adjustRightInd w:val="0"/>
        <w:rPr>
          <w:rFonts w:cs="Arial"/>
        </w:rPr>
      </w:pPr>
      <w:r>
        <w:rPr>
          <w:rFonts w:cs="Arial"/>
        </w:rPr>
        <w:t>The results demonstrate that daily EGU NOx emissions increased with the ambient temperature, with the highest daily NOx EGU NOx emissions occurring on days with the highest daily temperatures.  In the OTC states, NOx emissions from oil-fired EGU boilers and diesel fuel-fired EGUs also peaked on the days with highest daily temperatures.</w:t>
      </w:r>
    </w:p>
    <w:p w:rsidR="008854B5" w:rsidRDefault="008854B5" w:rsidP="008854B5">
      <w:pPr>
        <w:autoSpaceDE w:val="0"/>
        <w:autoSpaceDN w:val="0"/>
        <w:adjustRightInd w:val="0"/>
        <w:rPr>
          <w:rFonts w:cs="Arial"/>
        </w:rPr>
      </w:pPr>
    </w:p>
    <w:p w:rsidR="006A6A2E" w:rsidRDefault="00B55458" w:rsidP="0035783F">
      <w:pPr>
        <w:rPr>
          <w:rFonts w:cs="Arial"/>
        </w:rPr>
      </w:pPr>
      <w:r w:rsidRPr="00B55458">
        <w:rPr>
          <w:rFonts w:cs="Arial"/>
        </w:rPr>
        <w:t>T</w:t>
      </w:r>
      <w:r w:rsidR="00351CEE" w:rsidRPr="00B55458">
        <w:rPr>
          <w:rFonts w:cs="Arial"/>
        </w:rPr>
        <w:t xml:space="preserve">he </w:t>
      </w:r>
      <w:r w:rsidR="006A6A2E" w:rsidRPr="00B55458">
        <w:rPr>
          <w:rFonts w:cs="Arial"/>
        </w:rPr>
        <w:t xml:space="preserve">following </w:t>
      </w:r>
      <w:r w:rsidR="00351CEE" w:rsidRPr="00B55458">
        <w:rPr>
          <w:rFonts w:cs="Arial"/>
        </w:rPr>
        <w:t xml:space="preserve">graphs </w:t>
      </w:r>
      <w:r>
        <w:rPr>
          <w:rFonts w:cs="Arial"/>
        </w:rPr>
        <w:t xml:space="preserve">demonstrate </w:t>
      </w:r>
      <w:r w:rsidRPr="00B55458">
        <w:rPr>
          <w:rFonts w:cs="Arial"/>
        </w:rPr>
        <w:t>the</w:t>
      </w:r>
      <w:r w:rsidR="006A6A2E" w:rsidRPr="00B55458">
        <w:rPr>
          <w:rFonts w:cs="Arial"/>
        </w:rPr>
        <w:t xml:space="preserve"> </w:t>
      </w:r>
      <w:r w:rsidR="00351CEE" w:rsidRPr="00B55458">
        <w:rPr>
          <w:rFonts w:cs="Arial"/>
        </w:rPr>
        <w:t xml:space="preserve">majority of EGU NOx emitted </w:t>
      </w:r>
      <w:r w:rsidR="009C7EB8" w:rsidRPr="00B55458">
        <w:rPr>
          <w:rFonts w:cs="Arial"/>
        </w:rPr>
        <w:t xml:space="preserve">on HEDD </w:t>
      </w:r>
      <w:r w:rsidR="00351CEE" w:rsidRPr="00B55458">
        <w:rPr>
          <w:rFonts w:cs="Arial"/>
        </w:rPr>
        <w:t>in the OT</w:t>
      </w:r>
      <w:r w:rsidR="006056E8" w:rsidRPr="00B55458">
        <w:rPr>
          <w:rFonts w:cs="Arial"/>
        </w:rPr>
        <w:t>R</w:t>
      </w:r>
      <w:r w:rsidR="00351CEE" w:rsidRPr="00B55458">
        <w:rPr>
          <w:rFonts w:cs="Arial"/>
        </w:rPr>
        <w:t xml:space="preserve"> and LADCO</w:t>
      </w:r>
      <w:r w:rsidR="006056E8" w:rsidRPr="00B55458">
        <w:rPr>
          <w:rFonts w:cs="Arial"/>
        </w:rPr>
        <w:t xml:space="preserve"> </w:t>
      </w:r>
      <w:r w:rsidR="00351CEE" w:rsidRPr="00B55458">
        <w:rPr>
          <w:rFonts w:cs="Arial"/>
        </w:rPr>
        <w:t xml:space="preserve">during </w:t>
      </w:r>
      <w:bookmarkStart w:id="4" w:name="OLE_LINK5"/>
      <w:r w:rsidR="00947709" w:rsidRPr="00B55458">
        <w:rPr>
          <w:rFonts w:cs="Arial"/>
        </w:rPr>
        <w:t>the 2011</w:t>
      </w:r>
      <w:r w:rsidR="00351CEE" w:rsidRPr="00B55458">
        <w:rPr>
          <w:rFonts w:cs="Arial"/>
        </w:rPr>
        <w:t xml:space="preserve"> ozone season were from coal-fired units.  NOx emissions from EGUs firing other fuels (e.g., diesel, residual oil, natural gas) were very small in the LADCO </w:t>
      </w:r>
      <w:r w:rsidRPr="00B55458">
        <w:rPr>
          <w:rFonts w:cs="Arial"/>
        </w:rPr>
        <w:t>region while</w:t>
      </w:r>
      <w:r w:rsidR="00351CEE" w:rsidRPr="00B55458">
        <w:rPr>
          <w:rFonts w:cs="Arial"/>
        </w:rPr>
        <w:t xml:space="preserve"> the</w:t>
      </w:r>
      <w:r w:rsidRPr="00B55458">
        <w:rPr>
          <w:rFonts w:cs="Arial"/>
        </w:rPr>
        <w:t>ir contribution</w:t>
      </w:r>
      <w:r w:rsidR="00773EA1">
        <w:rPr>
          <w:rFonts w:cs="Arial"/>
        </w:rPr>
        <w:t xml:space="preserve"> was significant in the OTR, especially on </w:t>
      </w:r>
      <w:r w:rsidR="00773EA1" w:rsidRPr="00B55458">
        <w:rPr>
          <w:rFonts w:cs="Arial"/>
        </w:rPr>
        <w:t>HEDD</w:t>
      </w:r>
      <w:r w:rsidR="00773EA1">
        <w:rPr>
          <w:rFonts w:cs="Arial"/>
        </w:rPr>
        <w:t>.</w:t>
      </w:r>
      <w:bookmarkEnd w:id="4"/>
    </w:p>
    <w:p w:rsidR="00773EA1" w:rsidRDefault="00DB16B8" w:rsidP="00773EA1">
      <w:pPr>
        <w:jc w:val="center"/>
        <w:rPr>
          <w:rFonts w:cs="Arial"/>
        </w:rPr>
      </w:pPr>
      <w:r>
        <w:rPr>
          <w:rFonts w:cs="Arial"/>
          <w:noProof/>
        </w:rPr>
        <w:lastRenderedPageBreak/>
        <w:drawing>
          <wp:inline distT="0" distB="0" distL="0" distR="0">
            <wp:extent cx="5476875" cy="4124325"/>
            <wp:effectExtent l="19050" t="0" r="9525" b="0"/>
            <wp:docPr id="1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cstate="print"/>
                    <a:srcRect/>
                    <a:stretch>
                      <a:fillRect/>
                    </a:stretch>
                  </pic:blipFill>
                  <pic:spPr bwMode="auto">
                    <a:xfrm>
                      <a:off x="0" y="0"/>
                      <a:ext cx="5476875" cy="4124325"/>
                    </a:xfrm>
                    <a:prstGeom prst="rect">
                      <a:avLst/>
                    </a:prstGeom>
                    <a:noFill/>
                    <a:ln w="9525">
                      <a:noFill/>
                      <a:miter lim="800000"/>
                      <a:headEnd/>
                      <a:tailEnd/>
                    </a:ln>
                  </pic:spPr>
                </pic:pic>
              </a:graphicData>
            </a:graphic>
          </wp:inline>
        </w:drawing>
      </w:r>
    </w:p>
    <w:p w:rsidR="00773EA1" w:rsidRPr="00B55458" w:rsidRDefault="00773EA1" w:rsidP="0035783F">
      <w:pPr>
        <w:rPr>
          <w:rFonts w:cs="Arial"/>
        </w:rPr>
      </w:pPr>
    </w:p>
    <w:p w:rsidR="00947709" w:rsidRDefault="00947709" w:rsidP="0035783F"/>
    <w:p w:rsidR="00947709" w:rsidRDefault="00947709" w:rsidP="0035783F"/>
    <w:p w:rsidR="00773EA1" w:rsidRDefault="00DB16B8" w:rsidP="00773EA1">
      <w:pPr>
        <w:jc w:val="center"/>
      </w:pPr>
      <w:r>
        <w:rPr>
          <w:noProof/>
        </w:rPr>
        <w:lastRenderedPageBreak/>
        <w:drawing>
          <wp:inline distT="0" distB="0" distL="0" distR="0">
            <wp:extent cx="5210175" cy="4029075"/>
            <wp:effectExtent l="19050" t="0" r="9525" b="0"/>
            <wp:docPr id="1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srcRect/>
                    <a:stretch>
                      <a:fillRect/>
                    </a:stretch>
                  </pic:blipFill>
                  <pic:spPr bwMode="auto">
                    <a:xfrm>
                      <a:off x="0" y="0"/>
                      <a:ext cx="5210175" cy="4029075"/>
                    </a:xfrm>
                    <a:prstGeom prst="rect">
                      <a:avLst/>
                    </a:prstGeom>
                    <a:noFill/>
                    <a:ln w="9525">
                      <a:noFill/>
                      <a:miter lim="800000"/>
                      <a:headEnd/>
                      <a:tailEnd/>
                    </a:ln>
                  </pic:spPr>
                </pic:pic>
              </a:graphicData>
            </a:graphic>
          </wp:inline>
        </w:drawing>
      </w:r>
    </w:p>
    <w:p w:rsidR="00947709" w:rsidRDefault="00947709" w:rsidP="0035783F"/>
    <w:p w:rsidR="00947709" w:rsidRPr="00947709" w:rsidRDefault="00947709" w:rsidP="0035783F">
      <w:pPr>
        <w:rPr>
          <w:rFonts w:cs="Arial"/>
        </w:rPr>
      </w:pPr>
    </w:p>
    <w:p w:rsidR="00231F9F" w:rsidRDefault="00231F9F" w:rsidP="0035783F">
      <w:pPr>
        <w:rPr>
          <w:color w:val="1F497D"/>
          <w:sz w:val="22"/>
          <w:szCs w:val="22"/>
        </w:rPr>
      </w:pPr>
    </w:p>
    <w:p w:rsidR="00493929" w:rsidRPr="00361606" w:rsidRDefault="00C41467" w:rsidP="005178DB">
      <w:pPr>
        <w:numPr>
          <w:ilvl w:val="0"/>
          <w:numId w:val="33"/>
        </w:numPr>
        <w:autoSpaceDE w:val="0"/>
        <w:autoSpaceDN w:val="0"/>
        <w:adjustRightInd w:val="0"/>
        <w:rPr>
          <w:rFonts w:cs="Arial"/>
          <w:b/>
          <w:u w:val="single"/>
        </w:rPr>
      </w:pPr>
      <w:r w:rsidRPr="00361606">
        <w:rPr>
          <w:rFonts w:cs="Arial"/>
          <w:b/>
          <w:u w:val="single"/>
        </w:rPr>
        <w:t xml:space="preserve">Analysis </w:t>
      </w:r>
      <w:r w:rsidR="00493929" w:rsidRPr="00361606">
        <w:rPr>
          <w:rFonts w:cs="Arial"/>
          <w:b/>
          <w:u w:val="single"/>
        </w:rPr>
        <w:t>4: “Coal SCR Scorecard</w:t>
      </w:r>
      <w:r w:rsidR="008854B5" w:rsidRPr="00361606">
        <w:rPr>
          <w:rFonts w:cs="Arial"/>
          <w:b/>
          <w:u w:val="single"/>
        </w:rPr>
        <w:t xml:space="preserve"> </w:t>
      </w:r>
    </w:p>
    <w:p w:rsidR="00493929" w:rsidRDefault="00493929" w:rsidP="006B6BE8">
      <w:pPr>
        <w:autoSpaceDE w:val="0"/>
        <w:autoSpaceDN w:val="0"/>
        <w:adjustRightInd w:val="0"/>
        <w:rPr>
          <w:rFonts w:cs="Arial"/>
          <w:u w:val="single"/>
        </w:rPr>
      </w:pPr>
    </w:p>
    <w:p w:rsidR="00612ED1" w:rsidRDefault="00612ED1" w:rsidP="006B6BE8">
      <w:pPr>
        <w:autoSpaceDE w:val="0"/>
        <w:autoSpaceDN w:val="0"/>
        <w:adjustRightInd w:val="0"/>
        <w:rPr>
          <w:rFonts w:cs="Arial"/>
          <w:u w:val="single"/>
        </w:rPr>
      </w:pPr>
      <w:r>
        <w:rPr>
          <w:rFonts w:cs="Arial"/>
          <w:u w:val="single"/>
        </w:rPr>
        <w:t>A</w:t>
      </w:r>
      <w:r w:rsidR="00707366">
        <w:rPr>
          <w:rFonts w:cs="Arial"/>
          <w:u w:val="single"/>
        </w:rPr>
        <w:t>nalysis</w:t>
      </w:r>
    </w:p>
    <w:p w:rsidR="00612ED1" w:rsidRDefault="00612ED1" w:rsidP="006B6BE8">
      <w:pPr>
        <w:autoSpaceDE w:val="0"/>
        <w:autoSpaceDN w:val="0"/>
        <w:adjustRightInd w:val="0"/>
        <w:rPr>
          <w:rFonts w:cs="Arial"/>
          <w:u w:val="single"/>
        </w:rPr>
      </w:pPr>
    </w:p>
    <w:p w:rsidR="00493929" w:rsidRDefault="00493929" w:rsidP="006B6BE8">
      <w:pPr>
        <w:autoSpaceDE w:val="0"/>
        <w:autoSpaceDN w:val="0"/>
        <w:adjustRightInd w:val="0"/>
        <w:rPr>
          <w:rFonts w:cs="Arial"/>
        </w:rPr>
      </w:pPr>
      <w:r>
        <w:rPr>
          <w:rFonts w:cs="Arial"/>
        </w:rPr>
        <w:t xml:space="preserve">A “Coal SCR Scorecard” listing the number of power </w:t>
      </w:r>
      <w:r w:rsidR="00B254E1">
        <w:rPr>
          <w:rFonts w:cs="Arial"/>
        </w:rPr>
        <w:t xml:space="preserve">plants </w:t>
      </w:r>
      <w:r w:rsidR="00865039">
        <w:rPr>
          <w:rFonts w:cs="Arial"/>
        </w:rPr>
        <w:t xml:space="preserve">equipped with SCR controls </w:t>
      </w:r>
      <w:r>
        <w:rPr>
          <w:rFonts w:cs="Arial"/>
        </w:rPr>
        <w:t xml:space="preserve">with </w:t>
      </w:r>
      <w:r w:rsidR="00865039">
        <w:rPr>
          <w:rFonts w:cs="Arial"/>
        </w:rPr>
        <w:t xml:space="preserve">higher </w:t>
      </w:r>
      <w:r>
        <w:rPr>
          <w:rFonts w:cs="Arial"/>
        </w:rPr>
        <w:t>NOx emissi</w:t>
      </w:r>
      <w:r w:rsidR="00865039">
        <w:rPr>
          <w:rFonts w:cs="Arial"/>
        </w:rPr>
        <w:t>on rates during the 2011</w:t>
      </w:r>
      <w:r w:rsidR="009624BD">
        <w:rPr>
          <w:rFonts w:cs="Arial"/>
        </w:rPr>
        <w:t xml:space="preserve">, </w:t>
      </w:r>
      <w:r w:rsidR="00865039">
        <w:rPr>
          <w:rFonts w:cs="Arial"/>
        </w:rPr>
        <w:t>2012</w:t>
      </w:r>
      <w:r w:rsidR="009624BD">
        <w:rPr>
          <w:rFonts w:cs="Arial"/>
        </w:rPr>
        <w:t>, and 2013</w:t>
      </w:r>
      <w:r w:rsidR="00865039">
        <w:rPr>
          <w:rFonts w:cs="Arial"/>
        </w:rPr>
        <w:t xml:space="preserve"> ozone seasons </w:t>
      </w:r>
      <w:r>
        <w:rPr>
          <w:rFonts w:cs="Arial"/>
        </w:rPr>
        <w:t xml:space="preserve">than </w:t>
      </w:r>
      <w:r w:rsidR="00865039">
        <w:rPr>
          <w:rFonts w:cs="Arial"/>
        </w:rPr>
        <w:t>previously demonstrated</w:t>
      </w:r>
      <w:r>
        <w:rPr>
          <w:rFonts w:cs="Arial"/>
        </w:rPr>
        <w:t xml:space="preserve"> was prepared by </w:t>
      </w:r>
      <w:r w:rsidR="00707366">
        <w:rPr>
          <w:rFonts w:cs="Arial"/>
        </w:rPr>
        <w:t>the Subgroup</w:t>
      </w:r>
      <w:r>
        <w:rPr>
          <w:rFonts w:cs="Arial"/>
        </w:rPr>
        <w:t>.</w:t>
      </w:r>
    </w:p>
    <w:p w:rsidR="00773EA1" w:rsidRDefault="00773EA1" w:rsidP="006B6BE8">
      <w:pPr>
        <w:autoSpaceDE w:val="0"/>
        <w:autoSpaceDN w:val="0"/>
        <w:adjustRightInd w:val="0"/>
        <w:rPr>
          <w:rFonts w:cs="Arial"/>
        </w:rPr>
      </w:pPr>
    </w:p>
    <w:p w:rsidR="00773EA1" w:rsidRPr="00361606" w:rsidRDefault="00773EA1" w:rsidP="00773EA1">
      <w:r w:rsidRPr="00361606">
        <w:rPr>
          <w:rFonts w:cs="Arial"/>
        </w:rPr>
        <w:t xml:space="preserve">The scorecards illustrate the relative performance of SCR-equipped coal units in the listed states.  For example, of the 5 SCR-equipped coal plants in Alabama, only 1 operated at an emission rate substantially greater than previously </w:t>
      </w:r>
      <w:r w:rsidR="00361606" w:rsidRPr="00361606">
        <w:rPr>
          <w:rFonts w:cs="Arial"/>
        </w:rPr>
        <w:t>demonstrated</w:t>
      </w:r>
      <w:r w:rsidRPr="00361606">
        <w:rPr>
          <w:rFonts w:cs="Arial"/>
        </w:rPr>
        <w:t xml:space="preserve"> or </w:t>
      </w:r>
      <w:r w:rsidR="00361606">
        <w:rPr>
          <w:rFonts w:cs="Arial"/>
        </w:rPr>
        <w:t xml:space="preserve">its </w:t>
      </w:r>
      <w:r w:rsidRPr="00361606">
        <w:rPr>
          <w:rFonts w:cs="Arial"/>
        </w:rPr>
        <w:t>“optimum” rate</w:t>
      </w:r>
      <w:r w:rsidR="009624BD">
        <w:rPr>
          <w:rFonts w:cs="Arial"/>
        </w:rPr>
        <w:t xml:space="preserve"> in 2011</w:t>
      </w:r>
      <w:r w:rsidRPr="00361606">
        <w:rPr>
          <w:rFonts w:cs="Arial"/>
        </w:rPr>
        <w:t xml:space="preserve">, for a “grade” </w:t>
      </w:r>
      <w:proofErr w:type="gramStart"/>
      <w:r w:rsidRPr="00361606">
        <w:rPr>
          <w:rFonts w:cs="Arial"/>
        </w:rPr>
        <w:t>of</w:t>
      </w:r>
      <w:r w:rsidR="009B3959">
        <w:rPr>
          <w:rFonts w:cs="Arial"/>
        </w:rPr>
        <w:t xml:space="preserve"> </w:t>
      </w:r>
      <w:r w:rsidRPr="00361606">
        <w:rPr>
          <w:rFonts w:cs="Arial"/>
        </w:rPr>
        <w:t xml:space="preserve"> 80</w:t>
      </w:r>
      <w:proofErr w:type="gramEnd"/>
      <w:r w:rsidRPr="00361606">
        <w:rPr>
          <w:rFonts w:cs="Arial"/>
        </w:rPr>
        <w:t>%.</w:t>
      </w:r>
      <w:r w:rsidR="009B3959">
        <w:rPr>
          <w:rFonts w:cs="Arial"/>
        </w:rPr>
        <w:t xml:space="preserve"> In 2012, another plant in Alabama </w:t>
      </w:r>
      <w:r w:rsidR="009B3959" w:rsidRPr="00361606">
        <w:rPr>
          <w:rFonts w:cs="Arial"/>
        </w:rPr>
        <w:t>operated at an emission rate substantially greater than previously demonstrated</w:t>
      </w:r>
      <w:r w:rsidR="009B3959">
        <w:rPr>
          <w:rFonts w:cs="Arial"/>
        </w:rPr>
        <w:t xml:space="preserve"> for a "grade" of 60%, while in 2013 only 4 plants operated, one sub-optimally for a "grade" of 75%. </w:t>
      </w:r>
      <w:r w:rsidRPr="00361606">
        <w:rPr>
          <w:rFonts w:cs="Arial"/>
        </w:rPr>
        <w:t xml:space="preserve">  In Kentucky, 5 plants were sub-optimum in 2011, one of which appeare</w:t>
      </w:r>
      <w:r w:rsidR="001D1C0F">
        <w:rPr>
          <w:rFonts w:cs="Arial"/>
        </w:rPr>
        <w:t>d to not operate its SCR at all</w:t>
      </w:r>
      <w:r w:rsidR="009B3959">
        <w:rPr>
          <w:rFonts w:cs="Arial"/>
        </w:rPr>
        <w:t xml:space="preserve"> for a "grade" of 50%.</w:t>
      </w:r>
      <w:r w:rsidRPr="00361606">
        <w:rPr>
          <w:rFonts w:cs="Arial"/>
        </w:rPr>
        <w:t xml:space="preserve"> </w:t>
      </w:r>
      <w:r w:rsidR="009B3959">
        <w:rPr>
          <w:rFonts w:cs="Arial"/>
        </w:rPr>
        <w:t>W</w:t>
      </w:r>
      <w:r w:rsidRPr="00361606">
        <w:rPr>
          <w:rFonts w:cs="Arial"/>
        </w:rPr>
        <w:t xml:space="preserve">hile in 2012, </w:t>
      </w:r>
      <w:r w:rsidR="009B3959">
        <w:rPr>
          <w:rFonts w:cs="Arial"/>
        </w:rPr>
        <w:t>1</w:t>
      </w:r>
      <w:r w:rsidRPr="00361606">
        <w:rPr>
          <w:rFonts w:cs="Arial"/>
        </w:rPr>
        <w:t xml:space="preserve"> of the 5 Kentucky plants </w:t>
      </w:r>
      <w:r w:rsidR="009B3959">
        <w:rPr>
          <w:rFonts w:cs="Arial"/>
        </w:rPr>
        <w:t xml:space="preserve">operations improved for a "grade" of 64%. </w:t>
      </w:r>
      <w:proofErr w:type="gramStart"/>
      <w:r w:rsidRPr="00361606">
        <w:rPr>
          <w:rFonts w:cs="Arial"/>
        </w:rPr>
        <w:t xml:space="preserve">Whereas, in Maryland and New Jersey, all plants operated their SCRs at optimum levels </w:t>
      </w:r>
      <w:r w:rsidR="009B3959">
        <w:rPr>
          <w:rFonts w:cs="Arial"/>
        </w:rPr>
        <w:t>in 2011 and 2012</w:t>
      </w:r>
      <w:r w:rsidRPr="00361606">
        <w:rPr>
          <w:rFonts w:cs="Arial"/>
        </w:rPr>
        <w:t>.</w:t>
      </w:r>
      <w:proofErr w:type="gramEnd"/>
      <w:r w:rsidRPr="00361606">
        <w:rPr>
          <w:rFonts w:cs="Arial"/>
        </w:rPr>
        <w:t xml:space="preserve">  These variations imply differing state regulations with respect to NO</w:t>
      </w:r>
      <w:r w:rsidRPr="00361606">
        <w:rPr>
          <w:rFonts w:cs="Arial"/>
          <w:vertAlign w:val="subscript"/>
        </w:rPr>
        <w:t>x</w:t>
      </w:r>
      <w:r w:rsidRPr="00361606">
        <w:rPr>
          <w:rFonts w:cs="Arial"/>
        </w:rPr>
        <w:t xml:space="preserve"> emissions.</w:t>
      </w:r>
    </w:p>
    <w:p w:rsidR="00493929" w:rsidRDefault="00493929" w:rsidP="006B6BE8">
      <w:pPr>
        <w:autoSpaceDE w:val="0"/>
        <w:autoSpaceDN w:val="0"/>
        <w:adjustRightInd w:val="0"/>
        <w:rPr>
          <w:rFonts w:cs="Arial"/>
        </w:rPr>
      </w:pPr>
    </w:p>
    <w:p w:rsidR="00493929" w:rsidRDefault="00493929" w:rsidP="00493929">
      <w:pPr>
        <w:autoSpaceDE w:val="0"/>
        <w:autoSpaceDN w:val="0"/>
        <w:adjustRightInd w:val="0"/>
        <w:rPr>
          <w:rFonts w:cs="Arial"/>
          <w:u w:val="single"/>
        </w:rPr>
      </w:pPr>
      <w:r>
        <w:rPr>
          <w:rFonts w:cs="Arial"/>
          <w:u w:val="single"/>
        </w:rPr>
        <w:t>R</w:t>
      </w:r>
      <w:r w:rsidR="00502614">
        <w:rPr>
          <w:rFonts w:cs="Arial"/>
          <w:u w:val="single"/>
        </w:rPr>
        <w:t>esults</w:t>
      </w:r>
    </w:p>
    <w:p w:rsidR="00671415" w:rsidRDefault="00671415" w:rsidP="00493929">
      <w:pPr>
        <w:autoSpaceDE w:val="0"/>
        <w:autoSpaceDN w:val="0"/>
        <w:adjustRightInd w:val="0"/>
        <w:rPr>
          <w:rFonts w:cs="Arial"/>
          <w:u w:val="single"/>
        </w:rPr>
      </w:pPr>
    </w:p>
    <w:p w:rsidR="008854B5" w:rsidRDefault="008854B5" w:rsidP="008854B5">
      <w:pPr>
        <w:autoSpaceDE w:val="0"/>
        <w:autoSpaceDN w:val="0"/>
        <w:adjustRightInd w:val="0"/>
        <w:rPr>
          <w:rFonts w:cs="Arial"/>
        </w:rPr>
      </w:pPr>
      <w:r>
        <w:rPr>
          <w:rFonts w:cs="Arial"/>
        </w:rPr>
        <w:lastRenderedPageBreak/>
        <w:t>The results of the “Coal SCR Scorecard” analysis demonstrate that in several cases power plants equipped with SCR controls had higher NOx emission rates during the 2011</w:t>
      </w:r>
      <w:r w:rsidR="009B3959">
        <w:rPr>
          <w:rFonts w:cs="Arial"/>
        </w:rPr>
        <w:t>, 2012,</w:t>
      </w:r>
      <w:r>
        <w:rPr>
          <w:rFonts w:cs="Arial"/>
        </w:rPr>
        <w:t xml:space="preserve"> and 201</w:t>
      </w:r>
      <w:r w:rsidR="009B3959">
        <w:rPr>
          <w:rFonts w:cs="Arial"/>
        </w:rPr>
        <w:t>3</w:t>
      </w:r>
      <w:r>
        <w:rPr>
          <w:rFonts w:cs="Arial"/>
        </w:rPr>
        <w:t xml:space="preserve"> ozone seasons than previously demonstrated.  Analysis results indicate some EGUs are either not operating or limiting the operation of their existing air pollution control devices</w:t>
      </w:r>
      <w:r w:rsidR="00C83AA3">
        <w:rPr>
          <w:rFonts w:cs="Arial"/>
        </w:rPr>
        <w:t>.</w:t>
      </w:r>
    </w:p>
    <w:p w:rsidR="00361606" w:rsidRDefault="00361606" w:rsidP="008854B5">
      <w:pPr>
        <w:autoSpaceDE w:val="0"/>
        <w:autoSpaceDN w:val="0"/>
        <w:adjustRightInd w:val="0"/>
        <w:rPr>
          <w:rFonts w:cs="Arial"/>
        </w:rPr>
      </w:pPr>
    </w:p>
    <w:p w:rsidR="00361606" w:rsidRPr="00945A99" w:rsidRDefault="00361606" w:rsidP="00361606">
      <w:pPr>
        <w:autoSpaceDE w:val="0"/>
        <w:autoSpaceDN w:val="0"/>
        <w:adjustRightInd w:val="0"/>
        <w:jc w:val="center"/>
        <w:rPr>
          <w:rFonts w:cs="Arial"/>
          <w:b/>
        </w:rPr>
      </w:pPr>
      <w:r w:rsidRPr="00945A99">
        <w:rPr>
          <w:rFonts w:cs="Arial"/>
          <w:b/>
        </w:rPr>
        <w:t>Coal Scorecard</w:t>
      </w:r>
      <w:r w:rsidR="00945A99">
        <w:rPr>
          <w:rFonts w:cs="Arial"/>
          <w:b/>
        </w:rPr>
        <w:t>- 2011</w:t>
      </w:r>
    </w:p>
    <w:p w:rsidR="00361606" w:rsidRDefault="00361606" w:rsidP="00361606">
      <w:pPr>
        <w:autoSpaceDE w:val="0"/>
        <w:autoSpaceDN w:val="0"/>
        <w:adjustRightInd w:val="0"/>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1006"/>
        <w:gridCol w:w="2006"/>
        <w:gridCol w:w="1020"/>
        <w:gridCol w:w="1455"/>
        <w:gridCol w:w="870"/>
        <w:gridCol w:w="1230"/>
      </w:tblGrid>
      <w:tr w:rsidR="00361606">
        <w:tc>
          <w:tcPr>
            <w:tcW w:w="1217" w:type="dxa"/>
            <w:shd w:val="clear" w:color="auto" w:fill="D9D9D9"/>
          </w:tcPr>
          <w:p w:rsidR="00361606" w:rsidRPr="00E96ADB" w:rsidRDefault="00361606" w:rsidP="00E96ADB">
            <w:pPr>
              <w:autoSpaceDE w:val="0"/>
              <w:autoSpaceDN w:val="0"/>
              <w:adjustRightInd w:val="0"/>
              <w:jc w:val="center"/>
              <w:rPr>
                <w:rFonts w:cs="Arial"/>
                <w:b/>
              </w:rPr>
            </w:pPr>
            <w:r w:rsidRPr="00E96ADB">
              <w:rPr>
                <w:rFonts w:cs="Arial"/>
                <w:b/>
              </w:rPr>
              <w:t>State</w:t>
            </w:r>
          </w:p>
        </w:tc>
        <w:tc>
          <w:tcPr>
            <w:tcW w:w="1028" w:type="dxa"/>
            <w:shd w:val="clear" w:color="auto" w:fill="D9D9D9"/>
          </w:tcPr>
          <w:p w:rsidR="00361606" w:rsidRPr="00E96ADB" w:rsidRDefault="00361606" w:rsidP="00E96ADB">
            <w:pPr>
              <w:autoSpaceDE w:val="0"/>
              <w:autoSpaceDN w:val="0"/>
              <w:adjustRightInd w:val="0"/>
              <w:jc w:val="center"/>
              <w:rPr>
                <w:rFonts w:cs="Arial"/>
                <w:b/>
              </w:rPr>
            </w:pPr>
            <w:r w:rsidRPr="00E96ADB">
              <w:rPr>
                <w:rFonts w:cs="Arial"/>
                <w:b/>
              </w:rPr>
              <w:t>Plants</w:t>
            </w:r>
          </w:p>
        </w:tc>
        <w:tc>
          <w:tcPr>
            <w:tcW w:w="2055" w:type="dxa"/>
            <w:shd w:val="clear" w:color="auto" w:fill="D9D9D9"/>
          </w:tcPr>
          <w:p w:rsidR="00361606" w:rsidRPr="00E96ADB" w:rsidRDefault="00361606" w:rsidP="00E96ADB">
            <w:pPr>
              <w:autoSpaceDE w:val="0"/>
              <w:autoSpaceDN w:val="0"/>
              <w:adjustRightInd w:val="0"/>
              <w:jc w:val="center"/>
              <w:rPr>
                <w:rFonts w:cs="Arial"/>
                <w:b/>
              </w:rPr>
            </w:pPr>
            <w:r w:rsidRPr="00E96ADB">
              <w:rPr>
                <w:rFonts w:cs="Arial"/>
                <w:b/>
              </w:rPr>
              <w:t xml:space="preserve">Number of Plants in 2011 with NOx Rate &gt; Previously Demonstrated </w:t>
            </w:r>
          </w:p>
        </w:tc>
        <w:tc>
          <w:tcPr>
            <w:tcW w:w="1068" w:type="dxa"/>
            <w:shd w:val="clear" w:color="auto" w:fill="D9D9D9"/>
          </w:tcPr>
          <w:p w:rsidR="00361606" w:rsidRPr="00E96ADB" w:rsidRDefault="00361606" w:rsidP="00E96ADB">
            <w:pPr>
              <w:autoSpaceDE w:val="0"/>
              <w:autoSpaceDN w:val="0"/>
              <w:adjustRightInd w:val="0"/>
              <w:jc w:val="center"/>
              <w:rPr>
                <w:rFonts w:cs="Arial"/>
                <w:b/>
              </w:rPr>
            </w:pPr>
            <w:r w:rsidRPr="00E96ADB">
              <w:rPr>
                <w:rFonts w:cs="Arial"/>
                <w:b/>
              </w:rPr>
              <w:t>SCR Off</w:t>
            </w:r>
          </w:p>
        </w:tc>
        <w:tc>
          <w:tcPr>
            <w:tcW w:w="1490" w:type="dxa"/>
            <w:shd w:val="clear" w:color="auto" w:fill="D9D9D9"/>
          </w:tcPr>
          <w:p w:rsidR="00361606" w:rsidRPr="00E96ADB" w:rsidRDefault="00361606" w:rsidP="00E96ADB">
            <w:pPr>
              <w:autoSpaceDE w:val="0"/>
              <w:autoSpaceDN w:val="0"/>
              <w:adjustRightInd w:val="0"/>
              <w:jc w:val="center"/>
              <w:rPr>
                <w:rFonts w:cs="Arial"/>
                <w:b/>
              </w:rPr>
            </w:pPr>
            <w:r w:rsidRPr="00E96ADB">
              <w:rPr>
                <w:rFonts w:cs="Arial"/>
                <w:b/>
              </w:rPr>
              <w:t>SCR Less than Optimum</w:t>
            </w:r>
          </w:p>
        </w:tc>
        <w:tc>
          <w:tcPr>
            <w:tcW w:w="822" w:type="dxa"/>
            <w:shd w:val="clear" w:color="auto" w:fill="D9D9D9"/>
          </w:tcPr>
          <w:p w:rsidR="00361606" w:rsidRPr="00E96ADB" w:rsidRDefault="00361606" w:rsidP="00E96ADB">
            <w:pPr>
              <w:autoSpaceDE w:val="0"/>
              <w:autoSpaceDN w:val="0"/>
              <w:adjustRightInd w:val="0"/>
              <w:jc w:val="center"/>
              <w:rPr>
                <w:rFonts w:cs="Arial"/>
                <w:b/>
              </w:rPr>
            </w:pPr>
            <w:r w:rsidRPr="00E96ADB">
              <w:rPr>
                <w:rFonts w:cs="Arial"/>
                <w:b/>
              </w:rPr>
              <w:t>Grade</w:t>
            </w:r>
          </w:p>
        </w:tc>
        <w:tc>
          <w:tcPr>
            <w:tcW w:w="1176" w:type="dxa"/>
            <w:shd w:val="clear" w:color="auto" w:fill="D9D9D9"/>
          </w:tcPr>
          <w:p w:rsidR="00361606" w:rsidRPr="00C83AA3" w:rsidRDefault="00C83AA3" w:rsidP="00E96ADB">
            <w:pPr>
              <w:autoSpaceDE w:val="0"/>
              <w:autoSpaceDN w:val="0"/>
              <w:adjustRightInd w:val="0"/>
              <w:jc w:val="center"/>
              <w:rPr>
                <w:rFonts w:cs="Arial"/>
                <w:b/>
              </w:rPr>
            </w:pPr>
            <w:r w:rsidRPr="00C83AA3">
              <w:rPr>
                <w:rFonts w:cs="Arial"/>
                <w:b/>
              </w:rPr>
              <w:t>Comment</w:t>
            </w: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AL</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5</w:t>
            </w:r>
          </w:p>
        </w:tc>
        <w:tc>
          <w:tcPr>
            <w:tcW w:w="2055"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106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0</w:t>
            </w:r>
          </w:p>
        </w:tc>
        <w:tc>
          <w:tcPr>
            <w:tcW w:w="1490"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822"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80%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AR</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2055"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DE</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0</w:t>
            </w:r>
          </w:p>
        </w:tc>
        <w:tc>
          <w:tcPr>
            <w:tcW w:w="2055"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GA</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4</w:t>
            </w:r>
          </w:p>
        </w:tc>
        <w:tc>
          <w:tcPr>
            <w:tcW w:w="2055"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106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490"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822"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75%</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IA</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1</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IL</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8</w:t>
            </w:r>
          </w:p>
        </w:tc>
        <w:tc>
          <w:tcPr>
            <w:tcW w:w="2055"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106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88%</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IN</w:t>
            </w:r>
          </w:p>
        </w:tc>
        <w:tc>
          <w:tcPr>
            <w:tcW w:w="1028" w:type="dxa"/>
            <w:shd w:val="clear" w:color="auto" w:fill="D9D9D9"/>
          </w:tcPr>
          <w:p w:rsidR="00361606" w:rsidRPr="00E96ADB" w:rsidRDefault="00361606" w:rsidP="001D7A7B">
            <w:pPr>
              <w:autoSpaceDE w:val="0"/>
              <w:autoSpaceDN w:val="0"/>
              <w:adjustRightInd w:val="0"/>
              <w:jc w:val="center"/>
              <w:rPr>
                <w:rFonts w:cs="Arial"/>
              </w:rPr>
            </w:pPr>
            <w:r w:rsidRPr="00E96ADB">
              <w:rPr>
                <w:rFonts w:cs="Arial"/>
              </w:rPr>
              <w:t>1</w:t>
            </w:r>
            <w:r w:rsidR="001D7A7B">
              <w:rPr>
                <w:rFonts w:cs="Arial"/>
              </w:rPr>
              <w:t>0</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2</w:t>
            </w:r>
          </w:p>
        </w:tc>
        <w:tc>
          <w:tcPr>
            <w:tcW w:w="106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0</w:t>
            </w:r>
          </w:p>
        </w:tc>
        <w:tc>
          <w:tcPr>
            <w:tcW w:w="1490" w:type="dxa"/>
            <w:shd w:val="clear" w:color="auto" w:fill="D9D9D9"/>
          </w:tcPr>
          <w:p w:rsidR="00361606" w:rsidRPr="00E96ADB" w:rsidRDefault="001D7A7B" w:rsidP="00E96ADB">
            <w:pPr>
              <w:autoSpaceDE w:val="0"/>
              <w:autoSpaceDN w:val="0"/>
              <w:adjustRightInd w:val="0"/>
              <w:jc w:val="center"/>
              <w:rPr>
                <w:rFonts w:cs="Arial"/>
              </w:rPr>
            </w:pPr>
            <w:r>
              <w:rPr>
                <w:rFonts w:cs="Arial"/>
              </w:rPr>
              <w:t>2</w:t>
            </w: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80</w:t>
            </w:r>
            <w:r w:rsidR="00361606" w:rsidRPr="00E96ADB">
              <w:rPr>
                <w:rFonts w:cs="Arial"/>
              </w:rPr>
              <w:t>%</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KY</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10</w:t>
            </w:r>
          </w:p>
        </w:tc>
        <w:tc>
          <w:tcPr>
            <w:tcW w:w="2055"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5</w:t>
            </w:r>
          </w:p>
        </w:tc>
        <w:tc>
          <w:tcPr>
            <w:tcW w:w="106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1</w:t>
            </w:r>
          </w:p>
        </w:tc>
        <w:tc>
          <w:tcPr>
            <w:tcW w:w="1490"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4</w:t>
            </w:r>
          </w:p>
        </w:tc>
        <w:tc>
          <w:tcPr>
            <w:tcW w:w="822"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50%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MA</w:t>
            </w:r>
          </w:p>
        </w:tc>
        <w:tc>
          <w:tcPr>
            <w:tcW w:w="1028" w:type="dxa"/>
            <w:shd w:val="clear" w:color="auto" w:fill="D9D9D9"/>
          </w:tcPr>
          <w:p w:rsidR="00361606" w:rsidRPr="00E96ADB" w:rsidRDefault="00361606" w:rsidP="00E96ADB">
            <w:pPr>
              <w:autoSpaceDE w:val="0"/>
              <w:autoSpaceDN w:val="0"/>
              <w:adjustRightInd w:val="0"/>
              <w:jc w:val="center"/>
              <w:rPr>
                <w:rFonts w:cs="Arial"/>
              </w:rPr>
            </w:pPr>
            <w:r w:rsidRPr="00E96ADB">
              <w:rPr>
                <w:rFonts w:cs="Arial"/>
              </w:rPr>
              <w:t>2</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1</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5</w:t>
            </w:r>
            <w:r w:rsidR="00361606" w:rsidRPr="00E96ADB">
              <w:rPr>
                <w:rFonts w:cs="Arial"/>
              </w:rPr>
              <w:t>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MD</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4</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MI</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3</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1</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67</w:t>
            </w:r>
            <w:r w:rsidR="00B227E9" w:rsidRPr="00E96ADB">
              <w:rPr>
                <w:rFonts w:cs="Arial"/>
              </w:rPr>
              <w:t>%</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MN</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MO</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3</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w:t>
            </w:r>
          </w:p>
        </w:tc>
        <w:tc>
          <w:tcPr>
            <w:tcW w:w="106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490"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w:t>
            </w: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33%</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NC</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6</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1</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1D7A7B" w:rsidP="00E96ADB">
            <w:pPr>
              <w:autoSpaceDE w:val="0"/>
              <w:autoSpaceDN w:val="0"/>
              <w:adjustRightInd w:val="0"/>
              <w:jc w:val="center"/>
              <w:rPr>
                <w:rFonts w:cs="Arial"/>
              </w:rPr>
            </w:pPr>
            <w:r>
              <w:rPr>
                <w:rFonts w:cs="Arial"/>
              </w:rPr>
              <w:t>1</w:t>
            </w: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83</w:t>
            </w:r>
            <w:r w:rsidR="00B227E9" w:rsidRPr="00E96ADB">
              <w:rPr>
                <w:rFonts w:cs="Arial"/>
              </w:rPr>
              <w:t>%</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NH</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NJ</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4</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NY</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1</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1D7A7B" w:rsidP="00E96ADB">
            <w:pPr>
              <w:autoSpaceDE w:val="0"/>
              <w:autoSpaceDN w:val="0"/>
              <w:adjustRightInd w:val="0"/>
              <w:jc w:val="center"/>
              <w:rPr>
                <w:rFonts w:cs="Arial"/>
              </w:rPr>
            </w:pPr>
            <w:r>
              <w:rPr>
                <w:rFonts w:cs="Arial"/>
              </w:rPr>
              <w:t>1</w:t>
            </w: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5</w:t>
            </w:r>
            <w:r w:rsidR="00B227E9" w:rsidRPr="00E96ADB">
              <w:rPr>
                <w:rFonts w:cs="Arial"/>
              </w:rPr>
              <w:t>0%</w:t>
            </w:r>
          </w:p>
        </w:tc>
        <w:tc>
          <w:tcPr>
            <w:tcW w:w="1176"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 of 4 in 2010</w:t>
            </w: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OH</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10</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3</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1D7A7B" w:rsidP="00E96ADB">
            <w:pPr>
              <w:autoSpaceDE w:val="0"/>
              <w:autoSpaceDN w:val="0"/>
              <w:adjustRightInd w:val="0"/>
              <w:jc w:val="center"/>
              <w:rPr>
                <w:rFonts w:cs="Arial"/>
              </w:rPr>
            </w:pPr>
            <w:r>
              <w:rPr>
                <w:rFonts w:cs="Arial"/>
              </w:rPr>
              <w:t>3</w:t>
            </w: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7</w:t>
            </w:r>
            <w:r w:rsidR="00B227E9" w:rsidRPr="00E96ADB">
              <w:rPr>
                <w:rFonts w:cs="Arial"/>
              </w:rPr>
              <w:t>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PA</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5</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4</w:t>
            </w:r>
          </w:p>
        </w:tc>
        <w:tc>
          <w:tcPr>
            <w:tcW w:w="106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w:t>
            </w:r>
          </w:p>
        </w:tc>
        <w:tc>
          <w:tcPr>
            <w:tcW w:w="1490" w:type="dxa"/>
            <w:shd w:val="clear" w:color="auto" w:fill="D9D9D9"/>
          </w:tcPr>
          <w:p w:rsidR="00361606" w:rsidRPr="00E96ADB" w:rsidRDefault="001D7A7B" w:rsidP="00E96ADB">
            <w:pPr>
              <w:autoSpaceDE w:val="0"/>
              <w:autoSpaceDN w:val="0"/>
              <w:adjustRightInd w:val="0"/>
              <w:jc w:val="center"/>
              <w:rPr>
                <w:rFonts w:cs="Arial"/>
              </w:rPr>
            </w:pPr>
            <w:r>
              <w:rPr>
                <w:rFonts w:cs="Arial"/>
              </w:rPr>
              <w:t>2</w:t>
            </w:r>
          </w:p>
        </w:tc>
        <w:tc>
          <w:tcPr>
            <w:tcW w:w="822" w:type="dxa"/>
            <w:shd w:val="clear" w:color="auto" w:fill="D9D9D9"/>
          </w:tcPr>
          <w:p w:rsidR="00361606" w:rsidRPr="00E96ADB" w:rsidRDefault="001D7A7B" w:rsidP="00E96ADB">
            <w:pPr>
              <w:autoSpaceDE w:val="0"/>
              <w:autoSpaceDN w:val="0"/>
              <w:adjustRightInd w:val="0"/>
              <w:jc w:val="center"/>
              <w:rPr>
                <w:rFonts w:cs="Arial"/>
              </w:rPr>
            </w:pPr>
            <w:r>
              <w:rPr>
                <w:rFonts w:cs="Arial"/>
              </w:rPr>
              <w:t>2</w:t>
            </w:r>
            <w:r w:rsidR="00B227E9" w:rsidRPr="00E96ADB">
              <w:rPr>
                <w:rFonts w:cs="Arial"/>
              </w:rPr>
              <w:t>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SC</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5</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TN</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4</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VA</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3</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w:t>
            </w: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33%</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WI</w:t>
            </w:r>
          </w:p>
        </w:tc>
        <w:tc>
          <w:tcPr>
            <w:tcW w:w="1028" w:type="dxa"/>
            <w:shd w:val="clear" w:color="auto" w:fill="D9D9D9"/>
          </w:tcPr>
          <w:p w:rsidR="00361606" w:rsidRPr="00E96ADB" w:rsidRDefault="001D7A7B" w:rsidP="00E96ADB">
            <w:pPr>
              <w:autoSpaceDE w:val="0"/>
              <w:autoSpaceDN w:val="0"/>
              <w:adjustRightInd w:val="0"/>
              <w:jc w:val="center"/>
              <w:rPr>
                <w:rFonts w:cs="Arial"/>
              </w:rPr>
            </w:pPr>
            <w:r>
              <w:rPr>
                <w:rFonts w:cs="Arial"/>
              </w:rPr>
              <w:t>3</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0</w:t>
            </w:r>
          </w:p>
        </w:tc>
        <w:tc>
          <w:tcPr>
            <w:tcW w:w="1068" w:type="dxa"/>
            <w:shd w:val="clear" w:color="auto" w:fill="D9D9D9"/>
          </w:tcPr>
          <w:p w:rsidR="00361606" w:rsidRPr="00E96ADB" w:rsidRDefault="00361606" w:rsidP="00E96ADB">
            <w:pPr>
              <w:autoSpaceDE w:val="0"/>
              <w:autoSpaceDN w:val="0"/>
              <w:adjustRightInd w:val="0"/>
              <w:jc w:val="center"/>
              <w:rPr>
                <w:rFonts w:cs="Arial"/>
              </w:rPr>
            </w:pPr>
          </w:p>
        </w:tc>
        <w:tc>
          <w:tcPr>
            <w:tcW w:w="1490" w:type="dxa"/>
            <w:shd w:val="clear" w:color="auto" w:fill="D9D9D9"/>
          </w:tcPr>
          <w:p w:rsidR="00361606" w:rsidRPr="00E96ADB" w:rsidRDefault="00361606" w:rsidP="00E96ADB">
            <w:pPr>
              <w:autoSpaceDE w:val="0"/>
              <w:autoSpaceDN w:val="0"/>
              <w:adjustRightInd w:val="0"/>
              <w:jc w:val="center"/>
              <w:rPr>
                <w:rFonts w:cs="Arial"/>
              </w:rPr>
            </w:pP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WV</w:t>
            </w:r>
          </w:p>
        </w:tc>
        <w:tc>
          <w:tcPr>
            <w:tcW w:w="1028"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6</w:t>
            </w:r>
          </w:p>
        </w:tc>
        <w:tc>
          <w:tcPr>
            <w:tcW w:w="2055"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w:t>
            </w:r>
          </w:p>
        </w:tc>
        <w:tc>
          <w:tcPr>
            <w:tcW w:w="1068" w:type="dxa"/>
            <w:shd w:val="clear" w:color="auto" w:fill="D9D9D9"/>
          </w:tcPr>
          <w:p w:rsidR="00361606" w:rsidRPr="00E96ADB" w:rsidRDefault="001D7A7B" w:rsidP="00E96ADB">
            <w:pPr>
              <w:autoSpaceDE w:val="0"/>
              <w:autoSpaceDN w:val="0"/>
              <w:adjustRightInd w:val="0"/>
              <w:jc w:val="center"/>
              <w:rPr>
                <w:rFonts w:cs="Arial"/>
              </w:rPr>
            </w:pPr>
            <w:r>
              <w:rPr>
                <w:rFonts w:cs="Arial"/>
              </w:rPr>
              <w:t>0</w:t>
            </w:r>
          </w:p>
        </w:tc>
        <w:tc>
          <w:tcPr>
            <w:tcW w:w="1490" w:type="dxa"/>
            <w:shd w:val="clear" w:color="auto" w:fill="D9D9D9"/>
          </w:tcPr>
          <w:p w:rsidR="00361606" w:rsidRPr="00E96ADB" w:rsidRDefault="001D7A7B" w:rsidP="00E96ADB">
            <w:pPr>
              <w:autoSpaceDE w:val="0"/>
              <w:autoSpaceDN w:val="0"/>
              <w:adjustRightInd w:val="0"/>
              <w:jc w:val="center"/>
              <w:rPr>
                <w:rFonts w:cs="Arial"/>
              </w:rPr>
            </w:pPr>
            <w:r>
              <w:rPr>
                <w:rFonts w:cs="Arial"/>
              </w:rPr>
              <w:t>2</w:t>
            </w:r>
          </w:p>
        </w:tc>
        <w:tc>
          <w:tcPr>
            <w:tcW w:w="822"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67%</w:t>
            </w: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Total</w:t>
            </w:r>
          </w:p>
        </w:tc>
        <w:tc>
          <w:tcPr>
            <w:tcW w:w="1028" w:type="dxa"/>
            <w:shd w:val="clear" w:color="auto" w:fill="D9D9D9"/>
          </w:tcPr>
          <w:p w:rsidR="00361606" w:rsidRPr="00E96ADB" w:rsidRDefault="00B227E9" w:rsidP="001D7A7B">
            <w:pPr>
              <w:autoSpaceDE w:val="0"/>
              <w:autoSpaceDN w:val="0"/>
              <w:adjustRightInd w:val="0"/>
              <w:jc w:val="center"/>
              <w:rPr>
                <w:rFonts w:cs="Arial"/>
              </w:rPr>
            </w:pPr>
            <w:r w:rsidRPr="00E96ADB">
              <w:rPr>
                <w:rFonts w:cs="Arial"/>
              </w:rPr>
              <w:t>10</w:t>
            </w:r>
            <w:r w:rsidR="001D7A7B">
              <w:rPr>
                <w:rFonts w:cs="Arial"/>
              </w:rPr>
              <w:t>2</w:t>
            </w: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28</w:t>
            </w:r>
          </w:p>
        </w:tc>
        <w:tc>
          <w:tcPr>
            <w:tcW w:w="1068" w:type="dxa"/>
            <w:shd w:val="clear" w:color="auto" w:fill="D9D9D9"/>
          </w:tcPr>
          <w:p w:rsidR="00361606" w:rsidRPr="00E96ADB" w:rsidRDefault="001D7A7B" w:rsidP="00E96ADB">
            <w:pPr>
              <w:autoSpaceDE w:val="0"/>
              <w:autoSpaceDN w:val="0"/>
              <w:adjustRightInd w:val="0"/>
              <w:jc w:val="center"/>
              <w:rPr>
                <w:rFonts w:cs="Arial"/>
              </w:rPr>
            </w:pPr>
            <w:r>
              <w:rPr>
                <w:rFonts w:cs="Arial"/>
              </w:rPr>
              <w:t>3</w:t>
            </w:r>
          </w:p>
        </w:tc>
        <w:tc>
          <w:tcPr>
            <w:tcW w:w="1490" w:type="dxa"/>
            <w:shd w:val="clear" w:color="auto" w:fill="D9D9D9"/>
          </w:tcPr>
          <w:p w:rsidR="00361606" w:rsidRPr="00E96ADB" w:rsidRDefault="00B227E9" w:rsidP="001D7A7B">
            <w:pPr>
              <w:autoSpaceDE w:val="0"/>
              <w:autoSpaceDN w:val="0"/>
              <w:adjustRightInd w:val="0"/>
              <w:jc w:val="center"/>
              <w:rPr>
                <w:rFonts w:cs="Arial"/>
              </w:rPr>
            </w:pPr>
            <w:r w:rsidRPr="00E96ADB">
              <w:rPr>
                <w:rFonts w:cs="Arial"/>
              </w:rPr>
              <w:t>2</w:t>
            </w:r>
            <w:r w:rsidR="001D7A7B">
              <w:rPr>
                <w:rFonts w:cs="Arial"/>
              </w:rPr>
              <w:t>5</w:t>
            </w:r>
          </w:p>
        </w:tc>
        <w:tc>
          <w:tcPr>
            <w:tcW w:w="822" w:type="dxa"/>
            <w:shd w:val="clear" w:color="auto" w:fill="D9D9D9"/>
          </w:tcPr>
          <w:p w:rsidR="00361606" w:rsidRPr="00E96ADB" w:rsidRDefault="00361606" w:rsidP="00E96ADB">
            <w:pPr>
              <w:autoSpaceDE w:val="0"/>
              <w:autoSpaceDN w:val="0"/>
              <w:adjustRightInd w:val="0"/>
              <w:jc w:val="center"/>
              <w:rPr>
                <w:rFonts w:cs="Arial"/>
              </w:rPr>
            </w:pP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r w:rsidR="00361606">
        <w:tc>
          <w:tcPr>
            <w:tcW w:w="1217"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Percentage of Total</w:t>
            </w:r>
          </w:p>
        </w:tc>
        <w:tc>
          <w:tcPr>
            <w:tcW w:w="1028" w:type="dxa"/>
            <w:shd w:val="clear" w:color="auto" w:fill="D9D9D9"/>
          </w:tcPr>
          <w:p w:rsidR="00361606" w:rsidRPr="00E96ADB" w:rsidRDefault="00361606" w:rsidP="00E96ADB">
            <w:pPr>
              <w:autoSpaceDE w:val="0"/>
              <w:autoSpaceDN w:val="0"/>
              <w:adjustRightInd w:val="0"/>
              <w:jc w:val="center"/>
              <w:rPr>
                <w:rFonts w:cs="Arial"/>
              </w:rPr>
            </w:pPr>
          </w:p>
        </w:tc>
        <w:tc>
          <w:tcPr>
            <w:tcW w:w="2055" w:type="dxa"/>
            <w:shd w:val="clear" w:color="auto" w:fill="D9D9D9"/>
          </w:tcPr>
          <w:p w:rsidR="00361606" w:rsidRPr="00E96ADB" w:rsidRDefault="001D7A7B" w:rsidP="00E96ADB">
            <w:pPr>
              <w:autoSpaceDE w:val="0"/>
              <w:autoSpaceDN w:val="0"/>
              <w:adjustRightInd w:val="0"/>
              <w:jc w:val="center"/>
              <w:rPr>
                <w:rFonts w:cs="Arial"/>
              </w:rPr>
            </w:pPr>
            <w:r>
              <w:rPr>
                <w:rFonts w:cs="Arial"/>
              </w:rPr>
              <w:t>27</w:t>
            </w:r>
            <w:r w:rsidR="00B227E9" w:rsidRPr="00E96ADB">
              <w:rPr>
                <w:rFonts w:cs="Arial"/>
              </w:rPr>
              <w:t>%</w:t>
            </w:r>
          </w:p>
        </w:tc>
        <w:tc>
          <w:tcPr>
            <w:tcW w:w="1068" w:type="dxa"/>
            <w:shd w:val="clear" w:color="auto" w:fill="D9D9D9"/>
          </w:tcPr>
          <w:p w:rsidR="00361606" w:rsidRPr="00E96ADB" w:rsidRDefault="001D7A7B" w:rsidP="00E96ADB">
            <w:pPr>
              <w:autoSpaceDE w:val="0"/>
              <w:autoSpaceDN w:val="0"/>
              <w:adjustRightInd w:val="0"/>
              <w:jc w:val="center"/>
              <w:rPr>
                <w:rFonts w:cs="Arial"/>
              </w:rPr>
            </w:pPr>
            <w:r>
              <w:rPr>
                <w:rFonts w:cs="Arial"/>
              </w:rPr>
              <w:t>3</w:t>
            </w:r>
            <w:r w:rsidR="00B227E9" w:rsidRPr="00E96ADB">
              <w:rPr>
                <w:rFonts w:cs="Arial"/>
              </w:rPr>
              <w:t>%</w:t>
            </w:r>
          </w:p>
        </w:tc>
        <w:tc>
          <w:tcPr>
            <w:tcW w:w="1490" w:type="dxa"/>
            <w:shd w:val="clear" w:color="auto" w:fill="D9D9D9"/>
          </w:tcPr>
          <w:p w:rsidR="00361606" w:rsidRPr="00E96ADB" w:rsidRDefault="00B227E9" w:rsidP="00E96ADB">
            <w:pPr>
              <w:autoSpaceDE w:val="0"/>
              <w:autoSpaceDN w:val="0"/>
              <w:adjustRightInd w:val="0"/>
              <w:jc w:val="center"/>
              <w:rPr>
                <w:rFonts w:cs="Arial"/>
              </w:rPr>
            </w:pPr>
            <w:r w:rsidRPr="00E96ADB">
              <w:rPr>
                <w:rFonts w:cs="Arial"/>
              </w:rPr>
              <w:t>25%</w:t>
            </w:r>
          </w:p>
        </w:tc>
        <w:tc>
          <w:tcPr>
            <w:tcW w:w="822" w:type="dxa"/>
            <w:shd w:val="clear" w:color="auto" w:fill="D9D9D9"/>
          </w:tcPr>
          <w:p w:rsidR="00361606" w:rsidRPr="00E96ADB" w:rsidRDefault="00361606" w:rsidP="00E96ADB">
            <w:pPr>
              <w:autoSpaceDE w:val="0"/>
              <w:autoSpaceDN w:val="0"/>
              <w:adjustRightInd w:val="0"/>
              <w:jc w:val="center"/>
              <w:rPr>
                <w:rFonts w:cs="Arial"/>
              </w:rPr>
            </w:pPr>
          </w:p>
        </w:tc>
        <w:tc>
          <w:tcPr>
            <w:tcW w:w="1176" w:type="dxa"/>
            <w:shd w:val="clear" w:color="auto" w:fill="D9D9D9"/>
          </w:tcPr>
          <w:p w:rsidR="00361606" w:rsidRPr="00E96ADB" w:rsidRDefault="00361606" w:rsidP="00E96ADB">
            <w:pPr>
              <w:autoSpaceDE w:val="0"/>
              <w:autoSpaceDN w:val="0"/>
              <w:adjustRightInd w:val="0"/>
              <w:jc w:val="center"/>
              <w:rPr>
                <w:rFonts w:cs="Arial"/>
              </w:rPr>
            </w:pPr>
          </w:p>
        </w:tc>
      </w:tr>
    </w:tbl>
    <w:p w:rsidR="00361606" w:rsidRDefault="00361606" w:rsidP="00361606">
      <w:pPr>
        <w:autoSpaceDE w:val="0"/>
        <w:autoSpaceDN w:val="0"/>
        <w:adjustRightInd w:val="0"/>
        <w:jc w:val="center"/>
        <w:rPr>
          <w:rFonts w:cs="Arial"/>
        </w:rPr>
      </w:pPr>
    </w:p>
    <w:p w:rsidR="00531555" w:rsidRDefault="00531555" w:rsidP="008854B5">
      <w:pPr>
        <w:autoSpaceDE w:val="0"/>
        <w:autoSpaceDN w:val="0"/>
        <w:adjustRightInd w:val="0"/>
        <w:rPr>
          <w:rFonts w:cs="Arial"/>
        </w:rPr>
      </w:pPr>
    </w:p>
    <w:p w:rsidR="001D7A7B" w:rsidRDefault="001D7A7B" w:rsidP="008854B5">
      <w:pPr>
        <w:autoSpaceDE w:val="0"/>
        <w:autoSpaceDN w:val="0"/>
        <w:adjustRightInd w:val="0"/>
        <w:rPr>
          <w:rFonts w:cs="Arial"/>
        </w:rPr>
      </w:pPr>
    </w:p>
    <w:p w:rsidR="001D7A7B" w:rsidRDefault="001D7A7B" w:rsidP="008854B5">
      <w:pPr>
        <w:autoSpaceDE w:val="0"/>
        <w:autoSpaceDN w:val="0"/>
        <w:adjustRightInd w:val="0"/>
        <w:rPr>
          <w:rFonts w:cs="Arial"/>
        </w:rPr>
      </w:pPr>
    </w:p>
    <w:p w:rsidR="001D7A7B" w:rsidRDefault="001D7A7B" w:rsidP="008854B5">
      <w:pPr>
        <w:autoSpaceDE w:val="0"/>
        <w:autoSpaceDN w:val="0"/>
        <w:adjustRightInd w:val="0"/>
        <w:rPr>
          <w:rFonts w:cs="Arial"/>
        </w:rPr>
      </w:pPr>
    </w:p>
    <w:p w:rsidR="001D7A7B" w:rsidRDefault="001D7A7B" w:rsidP="008854B5">
      <w:pPr>
        <w:autoSpaceDE w:val="0"/>
        <w:autoSpaceDN w:val="0"/>
        <w:adjustRightInd w:val="0"/>
        <w:rPr>
          <w:rFonts w:cs="Arial"/>
        </w:rPr>
      </w:pPr>
    </w:p>
    <w:p w:rsidR="00531555" w:rsidRDefault="00945A99" w:rsidP="00945A99">
      <w:pPr>
        <w:autoSpaceDE w:val="0"/>
        <w:autoSpaceDN w:val="0"/>
        <w:adjustRightInd w:val="0"/>
        <w:jc w:val="center"/>
        <w:rPr>
          <w:rFonts w:cs="Arial"/>
          <w:b/>
        </w:rPr>
      </w:pPr>
      <w:bookmarkStart w:id="5" w:name="_GoBack"/>
      <w:bookmarkEnd w:id="5"/>
      <w:r w:rsidRPr="00A3720F">
        <w:rPr>
          <w:rFonts w:cs="Arial"/>
          <w:b/>
        </w:rPr>
        <w:lastRenderedPageBreak/>
        <w:t>Coal EGU SCR Use Score as of 2011 Ozone Season</w:t>
      </w:r>
    </w:p>
    <w:p w:rsidR="001D7A7B" w:rsidRPr="00A3720F" w:rsidRDefault="00DB16B8" w:rsidP="00945A99">
      <w:pPr>
        <w:autoSpaceDE w:val="0"/>
        <w:autoSpaceDN w:val="0"/>
        <w:adjustRightInd w:val="0"/>
        <w:jc w:val="center"/>
        <w:rPr>
          <w:rFonts w:cs="Arial"/>
          <w:b/>
        </w:rPr>
      </w:pPr>
      <w:r>
        <w:rPr>
          <w:rFonts w:cs="Arial"/>
          <w:b/>
          <w:noProof/>
        </w:rPr>
        <w:drawing>
          <wp:inline distT="0" distB="0" distL="0" distR="0">
            <wp:extent cx="5943600" cy="42862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3600" cy="4286250"/>
                    </a:xfrm>
                    <a:prstGeom prst="rect">
                      <a:avLst/>
                    </a:prstGeom>
                    <a:noFill/>
                    <a:ln w="9525">
                      <a:noFill/>
                      <a:miter lim="800000"/>
                      <a:headEnd/>
                      <a:tailEnd/>
                    </a:ln>
                  </pic:spPr>
                </pic:pic>
              </a:graphicData>
            </a:graphic>
          </wp:inline>
        </w:drawing>
      </w:r>
    </w:p>
    <w:p w:rsidR="00945A99" w:rsidRDefault="00945A99" w:rsidP="00945A99">
      <w:pPr>
        <w:autoSpaceDE w:val="0"/>
        <w:autoSpaceDN w:val="0"/>
        <w:adjustRightInd w:val="0"/>
        <w:jc w:val="center"/>
        <w:rPr>
          <w:rFonts w:cs="Arial"/>
          <w:b/>
          <w:color w:val="FF0000"/>
        </w:rPr>
      </w:pPr>
    </w:p>
    <w:p w:rsidR="00945A99" w:rsidRPr="004E5EF0" w:rsidRDefault="00945A99" w:rsidP="00945A99">
      <w:pPr>
        <w:autoSpaceDE w:val="0"/>
        <w:autoSpaceDN w:val="0"/>
        <w:adjustRightInd w:val="0"/>
        <w:jc w:val="center"/>
        <w:rPr>
          <w:rFonts w:cs="Arial"/>
          <w:b/>
          <w:color w:val="FF0000"/>
        </w:rPr>
      </w:pPr>
    </w:p>
    <w:p w:rsidR="00671415" w:rsidRDefault="00671415" w:rsidP="00493929">
      <w:pPr>
        <w:autoSpaceDE w:val="0"/>
        <w:autoSpaceDN w:val="0"/>
        <w:adjustRightInd w:val="0"/>
        <w:rPr>
          <w:rFonts w:cs="Arial"/>
          <w:u w:val="single"/>
        </w:rPr>
      </w:pPr>
    </w:p>
    <w:p w:rsidR="00671415" w:rsidRDefault="00671415" w:rsidP="00945A99">
      <w:pPr>
        <w:autoSpaceDE w:val="0"/>
        <w:autoSpaceDN w:val="0"/>
        <w:adjustRightInd w:val="0"/>
        <w:jc w:val="center"/>
        <w:rPr>
          <w:rFonts w:cs="Arial"/>
          <w:u w:val="single"/>
        </w:rPr>
      </w:pPr>
    </w:p>
    <w:p w:rsidR="00945A99" w:rsidRPr="00945A99" w:rsidRDefault="00945A99" w:rsidP="00945A99">
      <w:pPr>
        <w:autoSpaceDE w:val="0"/>
        <w:autoSpaceDN w:val="0"/>
        <w:adjustRightInd w:val="0"/>
        <w:jc w:val="center"/>
        <w:rPr>
          <w:rFonts w:cs="Arial"/>
          <w:b/>
        </w:rPr>
      </w:pPr>
      <w:r w:rsidRPr="00945A99">
        <w:rPr>
          <w:rFonts w:cs="Arial"/>
          <w:b/>
        </w:rPr>
        <w:t>Coal Scorecard</w:t>
      </w:r>
      <w:r>
        <w:rPr>
          <w:rFonts w:cs="Arial"/>
          <w:b/>
        </w:rPr>
        <w:t>- 2012</w:t>
      </w:r>
    </w:p>
    <w:p w:rsidR="00945A99" w:rsidRDefault="00945A99" w:rsidP="00945A99">
      <w:pPr>
        <w:autoSpaceDE w:val="0"/>
        <w:autoSpaceDN w:val="0"/>
        <w:adjustRightInd w:val="0"/>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1006"/>
        <w:gridCol w:w="2006"/>
        <w:gridCol w:w="1020"/>
        <w:gridCol w:w="1455"/>
        <w:gridCol w:w="870"/>
        <w:gridCol w:w="1230"/>
      </w:tblGrid>
      <w:tr w:rsidR="00945A99">
        <w:tc>
          <w:tcPr>
            <w:tcW w:w="1217" w:type="dxa"/>
            <w:shd w:val="clear" w:color="auto" w:fill="D9D9D9"/>
          </w:tcPr>
          <w:p w:rsidR="00945A99" w:rsidRPr="00E96ADB" w:rsidRDefault="00945A99" w:rsidP="00E96ADB">
            <w:pPr>
              <w:autoSpaceDE w:val="0"/>
              <w:autoSpaceDN w:val="0"/>
              <w:adjustRightInd w:val="0"/>
              <w:jc w:val="center"/>
              <w:rPr>
                <w:rFonts w:cs="Arial"/>
                <w:b/>
              </w:rPr>
            </w:pPr>
            <w:r w:rsidRPr="00E96ADB">
              <w:rPr>
                <w:rFonts w:cs="Arial"/>
                <w:b/>
              </w:rPr>
              <w:t>State</w:t>
            </w:r>
          </w:p>
        </w:tc>
        <w:tc>
          <w:tcPr>
            <w:tcW w:w="1028" w:type="dxa"/>
            <w:shd w:val="clear" w:color="auto" w:fill="D9D9D9"/>
          </w:tcPr>
          <w:p w:rsidR="00945A99" w:rsidRPr="00E96ADB" w:rsidRDefault="00945A99" w:rsidP="00E96ADB">
            <w:pPr>
              <w:autoSpaceDE w:val="0"/>
              <w:autoSpaceDN w:val="0"/>
              <w:adjustRightInd w:val="0"/>
              <w:jc w:val="center"/>
              <w:rPr>
                <w:rFonts w:cs="Arial"/>
                <w:b/>
              </w:rPr>
            </w:pPr>
            <w:r w:rsidRPr="00E96ADB">
              <w:rPr>
                <w:rFonts w:cs="Arial"/>
                <w:b/>
              </w:rPr>
              <w:t>Plants</w:t>
            </w:r>
          </w:p>
        </w:tc>
        <w:tc>
          <w:tcPr>
            <w:tcW w:w="2055" w:type="dxa"/>
            <w:shd w:val="clear" w:color="auto" w:fill="D9D9D9"/>
          </w:tcPr>
          <w:p w:rsidR="00945A99" w:rsidRPr="00E96ADB" w:rsidRDefault="00945A99" w:rsidP="00E96ADB">
            <w:pPr>
              <w:autoSpaceDE w:val="0"/>
              <w:autoSpaceDN w:val="0"/>
              <w:adjustRightInd w:val="0"/>
              <w:jc w:val="center"/>
              <w:rPr>
                <w:rFonts w:cs="Arial"/>
                <w:b/>
              </w:rPr>
            </w:pPr>
            <w:r w:rsidRPr="00E96ADB">
              <w:rPr>
                <w:rFonts w:cs="Arial"/>
                <w:b/>
              </w:rPr>
              <w:t xml:space="preserve">Number of Plants in 2012 with NOx Rate &gt; Previously Demonstrated </w:t>
            </w:r>
          </w:p>
        </w:tc>
        <w:tc>
          <w:tcPr>
            <w:tcW w:w="1068" w:type="dxa"/>
            <w:shd w:val="clear" w:color="auto" w:fill="D9D9D9"/>
          </w:tcPr>
          <w:p w:rsidR="00945A99" w:rsidRPr="00E96ADB" w:rsidRDefault="00945A99" w:rsidP="00E96ADB">
            <w:pPr>
              <w:autoSpaceDE w:val="0"/>
              <w:autoSpaceDN w:val="0"/>
              <w:adjustRightInd w:val="0"/>
              <w:jc w:val="center"/>
              <w:rPr>
                <w:rFonts w:cs="Arial"/>
                <w:b/>
              </w:rPr>
            </w:pPr>
            <w:r w:rsidRPr="00E96ADB">
              <w:rPr>
                <w:rFonts w:cs="Arial"/>
                <w:b/>
              </w:rPr>
              <w:t>SCR Off</w:t>
            </w:r>
          </w:p>
        </w:tc>
        <w:tc>
          <w:tcPr>
            <w:tcW w:w="1490" w:type="dxa"/>
            <w:shd w:val="clear" w:color="auto" w:fill="D9D9D9"/>
          </w:tcPr>
          <w:p w:rsidR="00945A99" w:rsidRPr="00E96ADB" w:rsidRDefault="00945A99" w:rsidP="00E96ADB">
            <w:pPr>
              <w:autoSpaceDE w:val="0"/>
              <w:autoSpaceDN w:val="0"/>
              <w:adjustRightInd w:val="0"/>
              <w:jc w:val="center"/>
              <w:rPr>
                <w:rFonts w:cs="Arial"/>
                <w:b/>
              </w:rPr>
            </w:pPr>
            <w:r w:rsidRPr="00E96ADB">
              <w:rPr>
                <w:rFonts w:cs="Arial"/>
                <w:b/>
              </w:rPr>
              <w:t>SCR Less than Optimum</w:t>
            </w:r>
          </w:p>
        </w:tc>
        <w:tc>
          <w:tcPr>
            <w:tcW w:w="822" w:type="dxa"/>
            <w:shd w:val="clear" w:color="auto" w:fill="D9D9D9"/>
          </w:tcPr>
          <w:p w:rsidR="00945A99" w:rsidRPr="00E96ADB" w:rsidRDefault="00945A99" w:rsidP="00E96ADB">
            <w:pPr>
              <w:autoSpaceDE w:val="0"/>
              <w:autoSpaceDN w:val="0"/>
              <w:adjustRightInd w:val="0"/>
              <w:jc w:val="center"/>
              <w:rPr>
                <w:rFonts w:cs="Arial"/>
                <w:b/>
              </w:rPr>
            </w:pPr>
            <w:r w:rsidRPr="00E96ADB">
              <w:rPr>
                <w:rFonts w:cs="Arial"/>
                <w:b/>
              </w:rPr>
              <w:t>Grade</w:t>
            </w:r>
          </w:p>
        </w:tc>
        <w:tc>
          <w:tcPr>
            <w:tcW w:w="1176" w:type="dxa"/>
            <w:shd w:val="clear" w:color="auto" w:fill="D9D9D9"/>
          </w:tcPr>
          <w:p w:rsidR="00945A99" w:rsidRPr="00C83AA3" w:rsidRDefault="00C83AA3" w:rsidP="00E96ADB">
            <w:pPr>
              <w:autoSpaceDE w:val="0"/>
              <w:autoSpaceDN w:val="0"/>
              <w:adjustRightInd w:val="0"/>
              <w:jc w:val="center"/>
              <w:rPr>
                <w:rFonts w:cs="Arial"/>
                <w:b/>
              </w:rPr>
            </w:pPr>
            <w:r w:rsidRPr="00C83AA3">
              <w:rPr>
                <w:rFonts w:cs="Arial"/>
                <w:b/>
              </w:rPr>
              <w:t>Comment</w:t>
            </w: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AL</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5</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2</w:t>
            </w: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60%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AR</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DE</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GA</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4</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106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490"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75%</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IA</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IL</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9</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2</w:t>
            </w: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78%</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IN</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12</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3</w:t>
            </w:r>
          </w:p>
        </w:tc>
        <w:tc>
          <w:tcPr>
            <w:tcW w:w="106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2</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75</w:t>
            </w:r>
            <w:r w:rsidR="00945A99" w:rsidRPr="00E96ADB">
              <w:rPr>
                <w:rFonts w:cs="Arial"/>
              </w:rPr>
              <w:t>%</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KY</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11</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4</w:t>
            </w:r>
          </w:p>
        </w:tc>
        <w:tc>
          <w:tcPr>
            <w:tcW w:w="1068" w:type="dxa"/>
            <w:shd w:val="clear" w:color="auto" w:fill="D9D9D9"/>
          </w:tcPr>
          <w:p w:rsidR="00945A99" w:rsidRPr="00E96ADB" w:rsidRDefault="00A06117" w:rsidP="00A06117">
            <w:pPr>
              <w:autoSpaceDE w:val="0"/>
              <w:autoSpaceDN w:val="0"/>
              <w:adjustRightInd w:val="0"/>
              <w:jc w:val="center"/>
              <w:rPr>
                <w:rFonts w:cs="Arial"/>
              </w:rPr>
            </w:pPr>
            <w:r>
              <w:rPr>
                <w:rFonts w:cs="Arial"/>
              </w:rPr>
              <w:t>1</w:t>
            </w:r>
          </w:p>
        </w:tc>
        <w:tc>
          <w:tcPr>
            <w:tcW w:w="1490"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3</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64</w:t>
            </w:r>
            <w:r w:rsidR="00945A99" w:rsidRPr="00E96ADB">
              <w:rPr>
                <w:rFonts w:cs="Arial"/>
              </w:rPr>
              <w:t>%</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MA</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50</w:t>
            </w:r>
            <w:r w:rsidR="00945A99" w:rsidRPr="00E96ADB">
              <w:rPr>
                <w:rFonts w:cs="Arial"/>
              </w:rPr>
              <w:t>%</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MD</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4</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MI</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3</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lastRenderedPageBreak/>
              <w:t>MN</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MO</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3</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106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1490"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33%</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NC</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6</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106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490"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67</w:t>
            </w:r>
            <w:r w:rsidR="00945A99" w:rsidRPr="00E96ADB">
              <w:rPr>
                <w:rFonts w:cs="Arial"/>
              </w:rPr>
              <w:t>%</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NH</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0</w:t>
            </w:r>
          </w:p>
        </w:tc>
        <w:tc>
          <w:tcPr>
            <w:tcW w:w="822" w:type="dxa"/>
            <w:shd w:val="clear" w:color="auto" w:fill="D9D9D9"/>
          </w:tcPr>
          <w:p w:rsidR="00945A99" w:rsidRPr="00E96ADB" w:rsidRDefault="00A06117" w:rsidP="00A06117">
            <w:pPr>
              <w:autoSpaceDE w:val="0"/>
              <w:autoSpaceDN w:val="0"/>
              <w:adjustRightInd w:val="0"/>
              <w:jc w:val="center"/>
              <w:rPr>
                <w:rFonts w:cs="Arial"/>
              </w:rPr>
            </w:pPr>
            <w:r>
              <w:rPr>
                <w:rFonts w:cs="Arial"/>
              </w:rPr>
              <w:t>100</w:t>
            </w:r>
            <w:r w:rsidR="00945A99" w:rsidRPr="00E96ADB">
              <w:rPr>
                <w:rFonts w:cs="Arial"/>
              </w:rPr>
              <w:t>%</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NJ</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4</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NY</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5</w:t>
            </w:r>
            <w:r w:rsidR="00945A99" w:rsidRPr="00E96ADB">
              <w:rPr>
                <w:rFonts w:cs="Arial"/>
              </w:rPr>
              <w:t>0%</w:t>
            </w:r>
          </w:p>
        </w:tc>
        <w:tc>
          <w:tcPr>
            <w:tcW w:w="1176"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 of 4 in 2010</w:t>
            </w: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OH</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4</w:t>
            </w:r>
          </w:p>
        </w:tc>
        <w:tc>
          <w:tcPr>
            <w:tcW w:w="1068" w:type="dxa"/>
            <w:shd w:val="clear" w:color="auto" w:fill="D9D9D9"/>
          </w:tcPr>
          <w:p w:rsidR="00945A99" w:rsidRPr="00E96ADB" w:rsidRDefault="00641F29" w:rsidP="00E96ADB">
            <w:pPr>
              <w:autoSpaceDE w:val="0"/>
              <w:autoSpaceDN w:val="0"/>
              <w:adjustRightInd w:val="0"/>
              <w:jc w:val="center"/>
              <w:rPr>
                <w:rFonts w:cs="Arial"/>
              </w:rPr>
            </w:pPr>
            <w:r w:rsidRPr="00E96ADB">
              <w:rPr>
                <w:rFonts w:cs="Arial"/>
              </w:rPr>
              <w:t>2</w:t>
            </w:r>
          </w:p>
        </w:tc>
        <w:tc>
          <w:tcPr>
            <w:tcW w:w="1490" w:type="dxa"/>
            <w:shd w:val="clear" w:color="auto" w:fill="D9D9D9"/>
          </w:tcPr>
          <w:p w:rsidR="00945A99" w:rsidRPr="00E96ADB" w:rsidRDefault="00641F29" w:rsidP="00E96ADB">
            <w:pPr>
              <w:autoSpaceDE w:val="0"/>
              <w:autoSpaceDN w:val="0"/>
              <w:adjustRightInd w:val="0"/>
              <w:jc w:val="center"/>
              <w:rPr>
                <w:rFonts w:cs="Arial"/>
              </w:rPr>
            </w:pPr>
            <w:r w:rsidRPr="00E96ADB">
              <w:rPr>
                <w:rFonts w:cs="Arial"/>
              </w:rPr>
              <w:t>2</w:t>
            </w: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60%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PA</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5</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4</w:t>
            </w:r>
          </w:p>
        </w:tc>
        <w:tc>
          <w:tcPr>
            <w:tcW w:w="1068" w:type="dxa"/>
            <w:shd w:val="clear" w:color="auto" w:fill="D9D9D9"/>
          </w:tcPr>
          <w:p w:rsidR="00945A99" w:rsidRPr="00E96ADB" w:rsidRDefault="00641F29" w:rsidP="00E96ADB">
            <w:pPr>
              <w:autoSpaceDE w:val="0"/>
              <w:autoSpaceDN w:val="0"/>
              <w:adjustRightInd w:val="0"/>
              <w:jc w:val="center"/>
              <w:rPr>
                <w:rFonts w:cs="Arial"/>
              </w:rPr>
            </w:pPr>
            <w:r w:rsidRPr="00E96ADB">
              <w:rPr>
                <w:rFonts w:cs="Arial"/>
              </w:rPr>
              <w:t>3</w:t>
            </w: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2</w:t>
            </w:r>
            <w:r w:rsidR="00945A99" w:rsidRPr="00E96ADB">
              <w:rPr>
                <w:rFonts w:cs="Arial"/>
              </w:rPr>
              <w:t>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SC</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5</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TN</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4</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VA</w:t>
            </w:r>
          </w:p>
        </w:tc>
        <w:tc>
          <w:tcPr>
            <w:tcW w:w="102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3</w:t>
            </w: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A06117" w:rsidP="00E96ADB">
            <w:pPr>
              <w:autoSpaceDE w:val="0"/>
              <w:autoSpaceDN w:val="0"/>
              <w:adjustRightInd w:val="0"/>
              <w:jc w:val="center"/>
              <w:rPr>
                <w:rFonts w:cs="Arial"/>
              </w:rPr>
            </w:pPr>
            <w:r>
              <w:rPr>
                <w:rFonts w:cs="Arial"/>
              </w:rPr>
              <w:t>1</w:t>
            </w:r>
          </w:p>
        </w:tc>
        <w:tc>
          <w:tcPr>
            <w:tcW w:w="822" w:type="dxa"/>
            <w:shd w:val="clear" w:color="auto" w:fill="D9D9D9"/>
          </w:tcPr>
          <w:p w:rsidR="00945A99" w:rsidRPr="00E96ADB" w:rsidRDefault="00A06117" w:rsidP="00E96ADB">
            <w:pPr>
              <w:autoSpaceDE w:val="0"/>
              <w:autoSpaceDN w:val="0"/>
              <w:adjustRightInd w:val="0"/>
              <w:jc w:val="center"/>
              <w:rPr>
                <w:rFonts w:cs="Arial"/>
              </w:rPr>
            </w:pPr>
            <w:r>
              <w:rPr>
                <w:rFonts w:cs="Arial"/>
              </w:rPr>
              <w:t>67</w:t>
            </w:r>
            <w:r w:rsidR="00945A99" w:rsidRPr="00E96ADB">
              <w:rPr>
                <w:rFonts w:cs="Arial"/>
              </w:rPr>
              <w:t>%</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WI</w:t>
            </w:r>
          </w:p>
        </w:tc>
        <w:tc>
          <w:tcPr>
            <w:tcW w:w="1028" w:type="dxa"/>
            <w:shd w:val="clear" w:color="auto" w:fill="D9D9D9"/>
          </w:tcPr>
          <w:p w:rsidR="00945A99" w:rsidRPr="00E96ADB" w:rsidRDefault="00A06117" w:rsidP="00E96ADB">
            <w:pPr>
              <w:autoSpaceDE w:val="0"/>
              <w:autoSpaceDN w:val="0"/>
              <w:adjustRightInd w:val="0"/>
              <w:jc w:val="center"/>
              <w:rPr>
                <w:rFonts w:cs="Arial"/>
              </w:rPr>
            </w:pPr>
            <w:r>
              <w:rPr>
                <w:rFonts w:cs="Arial"/>
              </w:rPr>
              <w:t>4</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0</w:t>
            </w:r>
          </w:p>
        </w:tc>
        <w:tc>
          <w:tcPr>
            <w:tcW w:w="1068" w:type="dxa"/>
            <w:shd w:val="clear" w:color="auto" w:fill="D9D9D9"/>
          </w:tcPr>
          <w:p w:rsidR="00945A99" w:rsidRPr="00E96ADB" w:rsidRDefault="00945A99" w:rsidP="00E96ADB">
            <w:pPr>
              <w:autoSpaceDE w:val="0"/>
              <w:autoSpaceDN w:val="0"/>
              <w:adjustRightInd w:val="0"/>
              <w:jc w:val="center"/>
              <w:rPr>
                <w:rFonts w:cs="Arial"/>
              </w:rPr>
            </w:pPr>
          </w:p>
        </w:tc>
        <w:tc>
          <w:tcPr>
            <w:tcW w:w="1490" w:type="dxa"/>
            <w:shd w:val="clear" w:color="auto" w:fill="D9D9D9"/>
          </w:tcPr>
          <w:p w:rsidR="00945A99" w:rsidRPr="00E96ADB" w:rsidRDefault="00945A99" w:rsidP="00E96ADB">
            <w:pPr>
              <w:autoSpaceDE w:val="0"/>
              <w:autoSpaceDN w:val="0"/>
              <w:adjustRightInd w:val="0"/>
              <w:jc w:val="center"/>
              <w:rPr>
                <w:rFonts w:cs="Arial"/>
              </w:rPr>
            </w:pPr>
          </w:p>
        </w:tc>
        <w:tc>
          <w:tcPr>
            <w:tcW w:w="822"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100%</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WV</w:t>
            </w:r>
          </w:p>
        </w:tc>
        <w:tc>
          <w:tcPr>
            <w:tcW w:w="1028" w:type="dxa"/>
            <w:shd w:val="clear" w:color="auto" w:fill="D9D9D9"/>
          </w:tcPr>
          <w:p w:rsidR="00945A99" w:rsidRPr="00E96ADB" w:rsidRDefault="00641F29" w:rsidP="00E96ADB">
            <w:pPr>
              <w:autoSpaceDE w:val="0"/>
              <w:autoSpaceDN w:val="0"/>
              <w:adjustRightInd w:val="0"/>
              <w:jc w:val="center"/>
              <w:rPr>
                <w:rFonts w:cs="Arial"/>
              </w:rPr>
            </w:pPr>
            <w:r w:rsidRPr="00E96ADB">
              <w:rPr>
                <w:rFonts w:cs="Arial"/>
              </w:rPr>
              <w:t>7</w:t>
            </w:r>
          </w:p>
        </w:tc>
        <w:tc>
          <w:tcPr>
            <w:tcW w:w="2055"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2</w:t>
            </w:r>
          </w:p>
        </w:tc>
        <w:tc>
          <w:tcPr>
            <w:tcW w:w="1068"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1490"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1</w:t>
            </w:r>
          </w:p>
        </w:tc>
        <w:tc>
          <w:tcPr>
            <w:tcW w:w="822" w:type="dxa"/>
            <w:shd w:val="clear" w:color="auto" w:fill="D9D9D9"/>
          </w:tcPr>
          <w:p w:rsidR="00945A99" w:rsidRPr="00E96ADB" w:rsidRDefault="00641F29" w:rsidP="00E96ADB">
            <w:pPr>
              <w:autoSpaceDE w:val="0"/>
              <w:autoSpaceDN w:val="0"/>
              <w:adjustRightInd w:val="0"/>
              <w:jc w:val="center"/>
              <w:rPr>
                <w:rFonts w:cs="Arial"/>
              </w:rPr>
            </w:pPr>
            <w:r w:rsidRPr="00E96ADB">
              <w:rPr>
                <w:rFonts w:cs="Arial"/>
              </w:rPr>
              <w:t>71</w:t>
            </w:r>
            <w:r w:rsidR="00945A99" w:rsidRPr="00E96ADB">
              <w:rPr>
                <w:rFonts w:cs="Arial"/>
              </w:rPr>
              <w:t>%</w:t>
            </w: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Total</w:t>
            </w:r>
          </w:p>
        </w:tc>
        <w:tc>
          <w:tcPr>
            <w:tcW w:w="1028" w:type="dxa"/>
            <w:shd w:val="clear" w:color="auto" w:fill="D9D9D9"/>
          </w:tcPr>
          <w:p w:rsidR="00945A99" w:rsidRPr="00E96ADB" w:rsidRDefault="00945A99" w:rsidP="00A06117">
            <w:pPr>
              <w:autoSpaceDE w:val="0"/>
              <w:autoSpaceDN w:val="0"/>
              <w:adjustRightInd w:val="0"/>
              <w:jc w:val="center"/>
              <w:rPr>
                <w:rFonts w:cs="Arial"/>
              </w:rPr>
            </w:pPr>
            <w:r w:rsidRPr="00E96ADB">
              <w:rPr>
                <w:rFonts w:cs="Arial"/>
              </w:rPr>
              <w:t>10</w:t>
            </w:r>
            <w:r w:rsidR="00A06117">
              <w:rPr>
                <w:rFonts w:cs="Arial"/>
              </w:rPr>
              <w:t>8</w:t>
            </w:r>
          </w:p>
        </w:tc>
        <w:tc>
          <w:tcPr>
            <w:tcW w:w="2055" w:type="dxa"/>
            <w:shd w:val="clear" w:color="auto" w:fill="D9D9D9"/>
          </w:tcPr>
          <w:p w:rsidR="00945A99" w:rsidRPr="00E96ADB" w:rsidRDefault="00641F29" w:rsidP="00A06117">
            <w:pPr>
              <w:autoSpaceDE w:val="0"/>
              <w:autoSpaceDN w:val="0"/>
              <w:adjustRightInd w:val="0"/>
              <w:jc w:val="center"/>
              <w:rPr>
                <w:rFonts w:cs="Arial"/>
              </w:rPr>
            </w:pPr>
            <w:r w:rsidRPr="00E96ADB">
              <w:rPr>
                <w:rFonts w:cs="Arial"/>
              </w:rPr>
              <w:t>3</w:t>
            </w:r>
            <w:r w:rsidR="00A06117">
              <w:rPr>
                <w:rFonts w:cs="Arial"/>
              </w:rPr>
              <w:t>0</w:t>
            </w:r>
          </w:p>
        </w:tc>
        <w:tc>
          <w:tcPr>
            <w:tcW w:w="1068" w:type="dxa"/>
            <w:shd w:val="clear" w:color="auto" w:fill="D9D9D9"/>
          </w:tcPr>
          <w:p w:rsidR="00945A99" w:rsidRPr="00E96ADB" w:rsidRDefault="00641F29" w:rsidP="00A06117">
            <w:pPr>
              <w:autoSpaceDE w:val="0"/>
              <w:autoSpaceDN w:val="0"/>
              <w:adjustRightInd w:val="0"/>
              <w:jc w:val="center"/>
              <w:rPr>
                <w:rFonts w:cs="Arial"/>
              </w:rPr>
            </w:pPr>
            <w:r w:rsidRPr="00E96ADB">
              <w:rPr>
                <w:rFonts w:cs="Arial"/>
              </w:rPr>
              <w:t>1</w:t>
            </w:r>
            <w:r w:rsidR="00A06117">
              <w:rPr>
                <w:rFonts w:cs="Arial"/>
              </w:rPr>
              <w:t>0</w:t>
            </w:r>
          </w:p>
        </w:tc>
        <w:tc>
          <w:tcPr>
            <w:tcW w:w="1490" w:type="dxa"/>
            <w:shd w:val="clear" w:color="auto" w:fill="D9D9D9"/>
          </w:tcPr>
          <w:p w:rsidR="00945A99" w:rsidRPr="00E96ADB" w:rsidRDefault="00641F29" w:rsidP="00A06117">
            <w:pPr>
              <w:autoSpaceDE w:val="0"/>
              <w:autoSpaceDN w:val="0"/>
              <w:adjustRightInd w:val="0"/>
              <w:jc w:val="center"/>
              <w:rPr>
                <w:rFonts w:cs="Arial"/>
              </w:rPr>
            </w:pPr>
            <w:r w:rsidRPr="00E96ADB">
              <w:rPr>
                <w:rFonts w:cs="Arial"/>
              </w:rPr>
              <w:t>2</w:t>
            </w:r>
            <w:r w:rsidR="00A06117">
              <w:rPr>
                <w:rFonts w:cs="Arial"/>
              </w:rPr>
              <w:t>0</w:t>
            </w:r>
          </w:p>
        </w:tc>
        <w:tc>
          <w:tcPr>
            <w:tcW w:w="822" w:type="dxa"/>
            <w:shd w:val="clear" w:color="auto" w:fill="D9D9D9"/>
          </w:tcPr>
          <w:p w:rsidR="00945A99" w:rsidRPr="00E96ADB" w:rsidRDefault="00945A99" w:rsidP="00E96ADB">
            <w:pPr>
              <w:autoSpaceDE w:val="0"/>
              <w:autoSpaceDN w:val="0"/>
              <w:adjustRightInd w:val="0"/>
              <w:jc w:val="center"/>
              <w:rPr>
                <w:rFonts w:cs="Arial"/>
              </w:rPr>
            </w:pP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r w:rsidR="00945A99">
        <w:tc>
          <w:tcPr>
            <w:tcW w:w="1217" w:type="dxa"/>
            <w:shd w:val="clear" w:color="auto" w:fill="D9D9D9"/>
          </w:tcPr>
          <w:p w:rsidR="00945A99" w:rsidRPr="00E96ADB" w:rsidRDefault="00945A99" w:rsidP="00E96ADB">
            <w:pPr>
              <w:autoSpaceDE w:val="0"/>
              <w:autoSpaceDN w:val="0"/>
              <w:adjustRightInd w:val="0"/>
              <w:jc w:val="center"/>
              <w:rPr>
                <w:rFonts w:cs="Arial"/>
              </w:rPr>
            </w:pPr>
            <w:r w:rsidRPr="00E96ADB">
              <w:rPr>
                <w:rFonts w:cs="Arial"/>
              </w:rPr>
              <w:t>Percentage of Total</w:t>
            </w:r>
          </w:p>
        </w:tc>
        <w:tc>
          <w:tcPr>
            <w:tcW w:w="1028" w:type="dxa"/>
            <w:shd w:val="clear" w:color="auto" w:fill="D9D9D9"/>
          </w:tcPr>
          <w:p w:rsidR="00945A99" w:rsidRPr="00E96ADB" w:rsidRDefault="00945A99" w:rsidP="00E96ADB">
            <w:pPr>
              <w:autoSpaceDE w:val="0"/>
              <w:autoSpaceDN w:val="0"/>
              <w:adjustRightInd w:val="0"/>
              <w:jc w:val="center"/>
              <w:rPr>
                <w:rFonts w:cs="Arial"/>
              </w:rPr>
            </w:pPr>
          </w:p>
        </w:tc>
        <w:tc>
          <w:tcPr>
            <w:tcW w:w="2055" w:type="dxa"/>
            <w:shd w:val="clear" w:color="auto" w:fill="D9D9D9"/>
          </w:tcPr>
          <w:p w:rsidR="00945A99" w:rsidRPr="00E96ADB" w:rsidRDefault="00A06117" w:rsidP="00E96ADB">
            <w:pPr>
              <w:autoSpaceDE w:val="0"/>
              <w:autoSpaceDN w:val="0"/>
              <w:adjustRightInd w:val="0"/>
              <w:jc w:val="center"/>
              <w:rPr>
                <w:rFonts w:cs="Arial"/>
              </w:rPr>
            </w:pPr>
            <w:r>
              <w:rPr>
                <w:rFonts w:cs="Arial"/>
              </w:rPr>
              <w:t>28</w:t>
            </w:r>
            <w:r w:rsidR="00945A99" w:rsidRPr="00E96ADB">
              <w:rPr>
                <w:rFonts w:cs="Arial"/>
              </w:rPr>
              <w:t>%</w:t>
            </w:r>
          </w:p>
        </w:tc>
        <w:tc>
          <w:tcPr>
            <w:tcW w:w="1068" w:type="dxa"/>
            <w:shd w:val="clear" w:color="auto" w:fill="D9D9D9"/>
          </w:tcPr>
          <w:p w:rsidR="00945A99" w:rsidRPr="00E96ADB" w:rsidRDefault="00A06117" w:rsidP="00E96ADB">
            <w:pPr>
              <w:autoSpaceDE w:val="0"/>
              <w:autoSpaceDN w:val="0"/>
              <w:adjustRightInd w:val="0"/>
              <w:jc w:val="center"/>
              <w:rPr>
                <w:rFonts w:cs="Arial"/>
              </w:rPr>
            </w:pPr>
            <w:r>
              <w:rPr>
                <w:rFonts w:cs="Arial"/>
              </w:rPr>
              <w:t>9</w:t>
            </w:r>
            <w:r w:rsidR="00641F29" w:rsidRPr="00E96ADB">
              <w:rPr>
                <w:rFonts w:cs="Arial"/>
              </w:rPr>
              <w:t>%</w:t>
            </w:r>
          </w:p>
        </w:tc>
        <w:tc>
          <w:tcPr>
            <w:tcW w:w="1490" w:type="dxa"/>
            <w:shd w:val="clear" w:color="auto" w:fill="D9D9D9"/>
          </w:tcPr>
          <w:p w:rsidR="00945A99" w:rsidRPr="00E96ADB" w:rsidRDefault="00641F29" w:rsidP="00E96ADB">
            <w:pPr>
              <w:autoSpaceDE w:val="0"/>
              <w:autoSpaceDN w:val="0"/>
              <w:adjustRightInd w:val="0"/>
              <w:jc w:val="center"/>
              <w:rPr>
                <w:rFonts w:cs="Arial"/>
              </w:rPr>
            </w:pPr>
            <w:r w:rsidRPr="00E96ADB">
              <w:rPr>
                <w:rFonts w:cs="Arial"/>
              </w:rPr>
              <w:t>19%</w:t>
            </w:r>
          </w:p>
        </w:tc>
        <w:tc>
          <w:tcPr>
            <w:tcW w:w="822" w:type="dxa"/>
            <w:shd w:val="clear" w:color="auto" w:fill="D9D9D9"/>
          </w:tcPr>
          <w:p w:rsidR="00945A99" w:rsidRPr="00E96ADB" w:rsidRDefault="00945A99" w:rsidP="00E96ADB">
            <w:pPr>
              <w:autoSpaceDE w:val="0"/>
              <w:autoSpaceDN w:val="0"/>
              <w:adjustRightInd w:val="0"/>
              <w:jc w:val="center"/>
              <w:rPr>
                <w:rFonts w:cs="Arial"/>
              </w:rPr>
            </w:pPr>
          </w:p>
        </w:tc>
        <w:tc>
          <w:tcPr>
            <w:tcW w:w="1176" w:type="dxa"/>
            <w:shd w:val="clear" w:color="auto" w:fill="D9D9D9"/>
          </w:tcPr>
          <w:p w:rsidR="00945A99" w:rsidRPr="00E96ADB" w:rsidRDefault="00945A99" w:rsidP="00E96ADB">
            <w:pPr>
              <w:autoSpaceDE w:val="0"/>
              <w:autoSpaceDN w:val="0"/>
              <w:adjustRightInd w:val="0"/>
              <w:jc w:val="center"/>
              <w:rPr>
                <w:rFonts w:cs="Arial"/>
              </w:rPr>
            </w:pPr>
          </w:p>
        </w:tc>
      </w:tr>
    </w:tbl>
    <w:p w:rsidR="00945A99" w:rsidRDefault="00945A99" w:rsidP="00945A99">
      <w:pPr>
        <w:autoSpaceDE w:val="0"/>
        <w:autoSpaceDN w:val="0"/>
        <w:adjustRightInd w:val="0"/>
        <w:jc w:val="center"/>
        <w:rPr>
          <w:rFonts w:cs="Arial"/>
          <w:u w:val="single"/>
        </w:rPr>
      </w:pPr>
    </w:p>
    <w:p w:rsidR="00671415" w:rsidRDefault="00671415" w:rsidP="00493929">
      <w:pPr>
        <w:autoSpaceDE w:val="0"/>
        <w:autoSpaceDN w:val="0"/>
        <w:adjustRightInd w:val="0"/>
        <w:rPr>
          <w:rFonts w:cs="Arial"/>
          <w:u w:val="single"/>
        </w:rPr>
      </w:pPr>
    </w:p>
    <w:p w:rsidR="00A3720F" w:rsidRDefault="00A3720F" w:rsidP="00A3720F">
      <w:pPr>
        <w:autoSpaceDE w:val="0"/>
        <w:autoSpaceDN w:val="0"/>
        <w:adjustRightInd w:val="0"/>
        <w:jc w:val="center"/>
        <w:rPr>
          <w:rFonts w:cs="Arial"/>
          <w:b/>
        </w:rPr>
      </w:pPr>
      <w:r w:rsidRPr="00A3720F">
        <w:rPr>
          <w:rFonts w:cs="Arial"/>
          <w:b/>
        </w:rPr>
        <w:t>Coal EGU SCR Use Score as of 201</w:t>
      </w:r>
      <w:r>
        <w:rPr>
          <w:rFonts w:cs="Arial"/>
          <w:b/>
        </w:rPr>
        <w:t>2</w:t>
      </w:r>
      <w:r w:rsidRPr="00A3720F">
        <w:rPr>
          <w:rFonts w:cs="Arial"/>
          <w:b/>
        </w:rPr>
        <w:t xml:space="preserve"> Ozone Season</w:t>
      </w:r>
    </w:p>
    <w:p w:rsidR="00A06117" w:rsidRDefault="00DB16B8" w:rsidP="00A3720F">
      <w:pPr>
        <w:autoSpaceDE w:val="0"/>
        <w:autoSpaceDN w:val="0"/>
        <w:adjustRightInd w:val="0"/>
        <w:jc w:val="center"/>
        <w:rPr>
          <w:rFonts w:cs="Arial"/>
          <w:b/>
        </w:rPr>
      </w:pPr>
      <w:r>
        <w:rPr>
          <w:rFonts w:cs="Arial"/>
          <w:b/>
          <w:noProof/>
        </w:rPr>
        <w:drawing>
          <wp:inline distT="0" distB="0" distL="0" distR="0">
            <wp:extent cx="5943600" cy="428625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943600" cy="4286250"/>
                    </a:xfrm>
                    <a:prstGeom prst="rect">
                      <a:avLst/>
                    </a:prstGeom>
                    <a:noFill/>
                    <a:ln w="9525">
                      <a:noFill/>
                      <a:miter lim="800000"/>
                      <a:headEnd/>
                      <a:tailEnd/>
                    </a:ln>
                  </pic:spPr>
                </pic:pic>
              </a:graphicData>
            </a:graphic>
          </wp:inline>
        </w:drawing>
      </w:r>
    </w:p>
    <w:p w:rsidR="00A3720F" w:rsidRDefault="00A3720F" w:rsidP="00A3720F">
      <w:pPr>
        <w:autoSpaceDE w:val="0"/>
        <w:autoSpaceDN w:val="0"/>
        <w:adjustRightInd w:val="0"/>
        <w:jc w:val="center"/>
        <w:rPr>
          <w:rFonts w:cs="Arial"/>
          <w:b/>
        </w:rPr>
      </w:pPr>
    </w:p>
    <w:p w:rsidR="00A3720F" w:rsidRDefault="00A3720F" w:rsidP="00A3720F">
      <w:pPr>
        <w:autoSpaceDE w:val="0"/>
        <w:autoSpaceDN w:val="0"/>
        <w:adjustRightInd w:val="0"/>
        <w:jc w:val="center"/>
        <w:rPr>
          <w:rFonts w:cs="Arial"/>
          <w:b/>
        </w:rPr>
      </w:pPr>
    </w:p>
    <w:p w:rsidR="000A5270" w:rsidRDefault="000A5270" w:rsidP="00A06117">
      <w:pPr>
        <w:autoSpaceDE w:val="0"/>
        <w:autoSpaceDN w:val="0"/>
        <w:adjustRightInd w:val="0"/>
        <w:jc w:val="center"/>
        <w:rPr>
          <w:rFonts w:cs="Arial"/>
          <w:b/>
        </w:rPr>
      </w:pPr>
    </w:p>
    <w:p w:rsidR="00A06117" w:rsidRPr="00945A99" w:rsidRDefault="00A06117" w:rsidP="00A06117">
      <w:pPr>
        <w:autoSpaceDE w:val="0"/>
        <w:autoSpaceDN w:val="0"/>
        <w:adjustRightInd w:val="0"/>
        <w:jc w:val="center"/>
        <w:rPr>
          <w:rFonts w:cs="Arial"/>
          <w:b/>
        </w:rPr>
      </w:pPr>
      <w:r w:rsidRPr="00945A99">
        <w:rPr>
          <w:rFonts w:cs="Arial"/>
          <w:b/>
        </w:rPr>
        <w:lastRenderedPageBreak/>
        <w:t>Coal Scorecard</w:t>
      </w:r>
      <w:r>
        <w:rPr>
          <w:rFonts w:cs="Arial"/>
          <w:b/>
        </w:rPr>
        <w:t>- 2013</w:t>
      </w:r>
    </w:p>
    <w:p w:rsidR="00A06117" w:rsidRDefault="00A06117" w:rsidP="00A3720F">
      <w:pPr>
        <w:autoSpaceDE w:val="0"/>
        <w:autoSpaceDN w:val="0"/>
        <w:adjustRightInd w:val="0"/>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1006"/>
        <w:gridCol w:w="2006"/>
        <w:gridCol w:w="1020"/>
        <w:gridCol w:w="1455"/>
        <w:gridCol w:w="870"/>
        <w:gridCol w:w="1230"/>
      </w:tblGrid>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b/>
              </w:rPr>
            </w:pPr>
            <w:r w:rsidRPr="00E96ADB">
              <w:rPr>
                <w:rFonts w:cs="Arial"/>
                <w:b/>
              </w:rPr>
              <w:t>State</w:t>
            </w:r>
          </w:p>
        </w:tc>
        <w:tc>
          <w:tcPr>
            <w:tcW w:w="1028" w:type="dxa"/>
            <w:shd w:val="clear" w:color="auto" w:fill="D9D9D9"/>
          </w:tcPr>
          <w:p w:rsidR="00A06117" w:rsidRPr="00E96ADB" w:rsidRDefault="00A06117" w:rsidP="00040F4A">
            <w:pPr>
              <w:autoSpaceDE w:val="0"/>
              <w:autoSpaceDN w:val="0"/>
              <w:adjustRightInd w:val="0"/>
              <w:jc w:val="center"/>
              <w:rPr>
                <w:rFonts w:cs="Arial"/>
                <w:b/>
              </w:rPr>
            </w:pPr>
            <w:r w:rsidRPr="00E96ADB">
              <w:rPr>
                <w:rFonts w:cs="Arial"/>
                <w:b/>
              </w:rPr>
              <w:t>Plants</w:t>
            </w:r>
          </w:p>
        </w:tc>
        <w:tc>
          <w:tcPr>
            <w:tcW w:w="2055" w:type="dxa"/>
            <w:shd w:val="clear" w:color="auto" w:fill="D9D9D9"/>
          </w:tcPr>
          <w:p w:rsidR="00A06117" w:rsidRPr="00E96ADB" w:rsidRDefault="00A06117" w:rsidP="00040F4A">
            <w:pPr>
              <w:autoSpaceDE w:val="0"/>
              <w:autoSpaceDN w:val="0"/>
              <w:adjustRightInd w:val="0"/>
              <w:jc w:val="center"/>
              <w:rPr>
                <w:rFonts w:cs="Arial"/>
                <w:b/>
              </w:rPr>
            </w:pPr>
            <w:r>
              <w:rPr>
                <w:rFonts w:cs="Arial"/>
                <w:b/>
              </w:rPr>
              <w:t>Number of Plants in 2013</w:t>
            </w:r>
            <w:r w:rsidRPr="00E96ADB">
              <w:rPr>
                <w:rFonts w:cs="Arial"/>
                <w:b/>
              </w:rPr>
              <w:t xml:space="preserve"> with NOx Rate &gt; Previously Demonstrated </w:t>
            </w:r>
          </w:p>
        </w:tc>
        <w:tc>
          <w:tcPr>
            <w:tcW w:w="1068" w:type="dxa"/>
            <w:shd w:val="clear" w:color="auto" w:fill="D9D9D9"/>
          </w:tcPr>
          <w:p w:rsidR="00A06117" w:rsidRPr="00E96ADB" w:rsidRDefault="00A06117" w:rsidP="00040F4A">
            <w:pPr>
              <w:autoSpaceDE w:val="0"/>
              <w:autoSpaceDN w:val="0"/>
              <w:adjustRightInd w:val="0"/>
              <w:jc w:val="center"/>
              <w:rPr>
                <w:rFonts w:cs="Arial"/>
                <w:b/>
              </w:rPr>
            </w:pPr>
            <w:r w:rsidRPr="00E96ADB">
              <w:rPr>
                <w:rFonts w:cs="Arial"/>
                <w:b/>
              </w:rPr>
              <w:t>SCR Off</w:t>
            </w:r>
          </w:p>
        </w:tc>
        <w:tc>
          <w:tcPr>
            <w:tcW w:w="1490" w:type="dxa"/>
            <w:shd w:val="clear" w:color="auto" w:fill="D9D9D9"/>
          </w:tcPr>
          <w:p w:rsidR="00A06117" w:rsidRPr="00E96ADB" w:rsidRDefault="00A06117" w:rsidP="00040F4A">
            <w:pPr>
              <w:autoSpaceDE w:val="0"/>
              <w:autoSpaceDN w:val="0"/>
              <w:adjustRightInd w:val="0"/>
              <w:jc w:val="center"/>
              <w:rPr>
                <w:rFonts w:cs="Arial"/>
                <w:b/>
              </w:rPr>
            </w:pPr>
            <w:r w:rsidRPr="00E96ADB">
              <w:rPr>
                <w:rFonts w:cs="Arial"/>
                <w:b/>
              </w:rPr>
              <w:t>SCR Less than Optimum</w:t>
            </w:r>
          </w:p>
        </w:tc>
        <w:tc>
          <w:tcPr>
            <w:tcW w:w="822" w:type="dxa"/>
            <w:shd w:val="clear" w:color="auto" w:fill="D9D9D9"/>
          </w:tcPr>
          <w:p w:rsidR="00A06117" w:rsidRPr="00E96ADB" w:rsidRDefault="00A06117" w:rsidP="00040F4A">
            <w:pPr>
              <w:autoSpaceDE w:val="0"/>
              <w:autoSpaceDN w:val="0"/>
              <w:adjustRightInd w:val="0"/>
              <w:jc w:val="center"/>
              <w:rPr>
                <w:rFonts w:cs="Arial"/>
                <w:b/>
              </w:rPr>
            </w:pPr>
            <w:r w:rsidRPr="00E96ADB">
              <w:rPr>
                <w:rFonts w:cs="Arial"/>
                <w:b/>
              </w:rPr>
              <w:t>Grade</w:t>
            </w:r>
          </w:p>
        </w:tc>
        <w:tc>
          <w:tcPr>
            <w:tcW w:w="1176" w:type="dxa"/>
            <w:shd w:val="clear" w:color="auto" w:fill="D9D9D9"/>
          </w:tcPr>
          <w:p w:rsidR="00A06117" w:rsidRPr="00C83AA3" w:rsidRDefault="00A06117" w:rsidP="00040F4A">
            <w:pPr>
              <w:autoSpaceDE w:val="0"/>
              <w:autoSpaceDN w:val="0"/>
              <w:adjustRightInd w:val="0"/>
              <w:jc w:val="center"/>
              <w:rPr>
                <w:rFonts w:cs="Arial"/>
                <w:b/>
              </w:rPr>
            </w:pPr>
            <w:r w:rsidRPr="00C83AA3">
              <w:rPr>
                <w:rFonts w:cs="Arial"/>
                <w:b/>
              </w:rPr>
              <w:t>Comment</w:t>
            </w: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AL</w:t>
            </w:r>
          </w:p>
        </w:tc>
        <w:tc>
          <w:tcPr>
            <w:tcW w:w="1028" w:type="dxa"/>
            <w:shd w:val="clear" w:color="auto" w:fill="D9D9D9"/>
          </w:tcPr>
          <w:p w:rsidR="00A06117" w:rsidRPr="00E96ADB" w:rsidRDefault="00176E69" w:rsidP="00040F4A">
            <w:pPr>
              <w:autoSpaceDE w:val="0"/>
              <w:autoSpaceDN w:val="0"/>
              <w:adjustRightInd w:val="0"/>
              <w:jc w:val="center"/>
              <w:rPr>
                <w:rFonts w:cs="Arial"/>
              </w:rPr>
            </w:pPr>
            <w:r>
              <w:rPr>
                <w:rFonts w:cs="Arial"/>
              </w:rPr>
              <w:t>4</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176E69" w:rsidP="00040F4A">
            <w:pPr>
              <w:autoSpaceDE w:val="0"/>
              <w:autoSpaceDN w:val="0"/>
              <w:adjustRightInd w:val="0"/>
              <w:jc w:val="center"/>
              <w:rPr>
                <w:rFonts w:cs="Arial"/>
              </w:rPr>
            </w:pPr>
            <w:r>
              <w:rPr>
                <w:rFonts w:cs="Arial"/>
              </w:rPr>
              <w:t>75</w:t>
            </w:r>
            <w:r w:rsidR="00A06117"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AR</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DE</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GA</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4</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490"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75%</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IA</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2055" w:type="dxa"/>
            <w:shd w:val="clear" w:color="auto" w:fill="D9D9D9"/>
          </w:tcPr>
          <w:p w:rsidR="00A06117" w:rsidRPr="00E96ADB" w:rsidRDefault="00A06117" w:rsidP="00040F4A">
            <w:pPr>
              <w:autoSpaceDE w:val="0"/>
              <w:autoSpaceDN w:val="0"/>
              <w:adjustRightInd w:val="0"/>
              <w:jc w:val="center"/>
              <w:rPr>
                <w:rFonts w:cs="Arial"/>
              </w:rPr>
            </w:pPr>
            <w:r>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A06117" w:rsidP="00040F4A">
            <w:pPr>
              <w:autoSpaceDE w:val="0"/>
              <w:autoSpaceDN w:val="0"/>
              <w:adjustRightInd w:val="0"/>
              <w:jc w:val="center"/>
              <w:rPr>
                <w:rFonts w:cs="Arial"/>
              </w:rPr>
            </w:pPr>
            <w:r>
              <w:rPr>
                <w:rFonts w:cs="Arial"/>
              </w:rPr>
              <w:t>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IL</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9</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176E69" w:rsidP="00040F4A">
            <w:pPr>
              <w:autoSpaceDE w:val="0"/>
              <w:autoSpaceDN w:val="0"/>
              <w:adjustRightInd w:val="0"/>
              <w:jc w:val="center"/>
              <w:rPr>
                <w:rFonts w:cs="Arial"/>
              </w:rPr>
            </w:pPr>
            <w:r>
              <w:rPr>
                <w:rFonts w:cs="Arial"/>
              </w:rPr>
              <w:t>89</w:t>
            </w:r>
            <w:r w:rsidR="00A06117"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IN</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12</w:t>
            </w:r>
          </w:p>
        </w:tc>
        <w:tc>
          <w:tcPr>
            <w:tcW w:w="2055" w:type="dxa"/>
            <w:shd w:val="clear" w:color="auto" w:fill="D9D9D9"/>
          </w:tcPr>
          <w:p w:rsidR="00A06117" w:rsidRPr="00E96ADB" w:rsidRDefault="00A06117" w:rsidP="00040F4A">
            <w:pPr>
              <w:autoSpaceDE w:val="0"/>
              <w:autoSpaceDN w:val="0"/>
              <w:adjustRightInd w:val="0"/>
              <w:jc w:val="center"/>
              <w:rPr>
                <w:rFonts w:cs="Arial"/>
              </w:rPr>
            </w:pPr>
            <w:r>
              <w:rPr>
                <w:rFonts w:cs="Arial"/>
              </w:rPr>
              <w:t>3</w:t>
            </w:r>
          </w:p>
        </w:tc>
        <w:tc>
          <w:tcPr>
            <w:tcW w:w="1068" w:type="dxa"/>
            <w:shd w:val="clear" w:color="auto" w:fill="D9D9D9"/>
          </w:tcPr>
          <w:p w:rsidR="00A06117" w:rsidRPr="00E96ADB" w:rsidRDefault="00176E69" w:rsidP="00040F4A">
            <w:pPr>
              <w:autoSpaceDE w:val="0"/>
              <w:autoSpaceDN w:val="0"/>
              <w:adjustRightInd w:val="0"/>
              <w:jc w:val="center"/>
              <w:rPr>
                <w:rFonts w:cs="Arial"/>
              </w:rPr>
            </w:pPr>
            <w:r>
              <w:rPr>
                <w:rFonts w:cs="Arial"/>
              </w:rPr>
              <w:t>2</w:t>
            </w: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A06117" w:rsidP="00040F4A">
            <w:pPr>
              <w:autoSpaceDE w:val="0"/>
              <w:autoSpaceDN w:val="0"/>
              <w:adjustRightInd w:val="0"/>
              <w:jc w:val="center"/>
              <w:rPr>
                <w:rFonts w:cs="Arial"/>
              </w:rPr>
            </w:pPr>
            <w:r>
              <w:rPr>
                <w:rFonts w:cs="Arial"/>
              </w:rPr>
              <w:t>75</w:t>
            </w:r>
            <w:r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KY</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11</w:t>
            </w:r>
          </w:p>
        </w:tc>
        <w:tc>
          <w:tcPr>
            <w:tcW w:w="2055" w:type="dxa"/>
            <w:shd w:val="clear" w:color="auto" w:fill="D9D9D9"/>
          </w:tcPr>
          <w:p w:rsidR="00A06117" w:rsidRPr="00E96ADB" w:rsidRDefault="00A06117" w:rsidP="00040F4A">
            <w:pPr>
              <w:autoSpaceDE w:val="0"/>
              <w:autoSpaceDN w:val="0"/>
              <w:adjustRightInd w:val="0"/>
              <w:jc w:val="center"/>
              <w:rPr>
                <w:rFonts w:cs="Arial"/>
              </w:rPr>
            </w:pPr>
            <w:r>
              <w:rPr>
                <w:rFonts w:cs="Arial"/>
              </w:rPr>
              <w:t>4</w:t>
            </w:r>
          </w:p>
        </w:tc>
        <w:tc>
          <w:tcPr>
            <w:tcW w:w="1068" w:type="dxa"/>
            <w:shd w:val="clear" w:color="auto" w:fill="D9D9D9"/>
          </w:tcPr>
          <w:p w:rsidR="00A06117" w:rsidRPr="00E96ADB" w:rsidRDefault="00A06117" w:rsidP="00040F4A">
            <w:pPr>
              <w:autoSpaceDE w:val="0"/>
              <w:autoSpaceDN w:val="0"/>
              <w:adjustRightInd w:val="0"/>
              <w:jc w:val="center"/>
              <w:rPr>
                <w:rFonts w:cs="Arial"/>
              </w:rPr>
            </w:pPr>
            <w:r>
              <w:rPr>
                <w:rFonts w:cs="Arial"/>
              </w:rPr>
              <w:t>1</w:t>
            </w:r>
          </w:p>
        </w:tc>
        <w:tc>
          <w:tcPr>
            <w:tcW w:w="1490"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3</w:t>
            </w:r>
          </w:p>
        </w:tc>
        <w:tc>
          <w:tcPr>
            <w:tcW w:w="822" w:type="dxa"/>
            <w:shd w:val="clear" w:color="auto" w:fill="D9D9D9"/>
          </w:tcPr>
          <w:p w:rsidR="00A06117" w:rsidRPr="00E96ADB" w:rsidRDefault="00A06117" w:rsidP="00040F4A">
            <w:pPr>
              <w:autoSpaceDE w:val="0"/>
              <w:autoSpaceDN w:val="0"/>
              <w:adjustRightInd w:val="0"/>
              <w:jc w:val="center"/>
              <w:rPr>
                <w:rFonts w:cs="Arial"/>
              </w:rPr>
            </w:pPr>
            <w:r>
              <w:rPr>
                <w:rFonts w:cs="Arial"/>
              </w:rPr>
              <w:t>64</w:t>
            </w:r>
            <w:r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MA</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2</w:t>
            </w:r>
          </w:p>
        </w:tc>
        <w:tc>
          <w:tcPr>
            <w:tcW w:w="2055" w:type="dxa"/>
            <w:shd w:val="clear" w:color="auto" w:fill="D9D9D9"/>
          </w:tcPr>
          <w:p w:rsidR="00A06117" w:rsidRPr="00E96ADB" w:rsidRDefault="00A06117" w:rsidP="00040F4A">
            <w:pPr>
              <w:autoSpaceDE w:val="0"/>
              <w:autoSpaceDN w:val="0"/>
              <w:adjustRightInd w:val="0"/>
              <w:jc w:val="center"/>
              <w:rPr>
                <w:rFonts w:cs="Arial"/>
              </w:rPr>
            </w:pPr>
            <w:r>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A06117" w:rsidP="00040F4A">
            <w:pPr>
              <w:autoSpaceDE w:val="0"/>
              <w:autoSpaceDN w:val="0"/>
              <w:adjustRightInd w:val="0"/>
              <w:jc w:val="center"/>
              <w:rPr>
                <w:rFonts w:cs="Arial"/>
              </w:rPr>
            </w:pPr>
            <w:r>
              <w:rPr>
                <w:rFonts w:cs="Arial"/>
              </w:rPr>
              <w:t>50</w:t>
            </w:r>
            <w:r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MD</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4</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MI</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3</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176E69" w:rsidP="00040F4A">
            <w:pPr>
              <w:autoSpaceDE w:val="0"/>
              <w:autoSpaceDN w:val="0"/>
              <w:adjustRightInd w:val="0"/>
              <w:jc w:val="center"/>
              <w:rPr>
                <w:rFonts w:cs="Arial"/>
              </w:rPr>
            </w:pPr>
            <w:r>
              <w:rPr>
                <w:rFonts w:cs="Arial"/>
              </w:rPr>
              <w:t>67</w:t>
            </w:r>
            <w:r w:rsidR="00A06117"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MN</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MO</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3</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2</w:t>
            </w:r>
          </w:p>
        </w:tc>
        <w:tc>
          <w:tcPr>
            <w:tcW w:w="106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2</w:t>
            </w: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33%</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NC</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6</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3</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3</w:t>
            </w:r>
          </w:p>
        </w:tc>
        <w:tc>
          <w:tcPr>
            <w:tcW w:w="822" w:type="dxa"/>
            <w:shd w:val="clear" w:color="auto" w:fill="D9D9D9"/>
          </w:tcPr>
          <w:p w:rsidR="00A06117" w:rsidRPr="00E96ADB" w:rsidRDefault="00176E69" w:rsidP="00040F4A">
            <w:pPr>
              <w:autoSpaceDE w:val="0"/>
              <w:autoSpaceDN w:val="0"/>
              <w:adjustRightInd w:val="0"/>
              <w:jc w:val="center"/>
              <w:rPr>
                <w:rFonts w:cs="Arial"/>
              </w:rPr>
            </w:pPr>
            <w:r>
              <w:rPr>
                <w:rFonts w:cs="Arial"/>
              </w:rPr>
              <w:t>50</w:t>
            </w:r>
            <w:r w:rsidR="00A06117"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NH</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2055" w:type="dxa"/>
            <w:shd w:val="clear" w:color="auto" w:fill="D9D9D9"/>
          </w:tcPr>
          <w:p w:rsidR="00A06117" w:rsidRPr="00E96ADB" w:rsidRDefault="00A06117" w:rsidP="00040F4A">
            <w:pPr>
              <w:autoSpaceDE w:val="0"/>
              <w:autoSpaceDN w:val="0"/>
              <w:adjustRightInd w:val="0"/>
              <w:jc w:val="center"/>
              <w:rPr>
                <w:rFonts w:cs="Arial"/>
              </w:rPr>
            </w:pPr>
            <w:r>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Pr>
                <w:rFonts w:cs="Arial"/>
              </w:rPr>
              <w:t>100</w:t>
            </w:r>
            <w:r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NJ</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4</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NY</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2</w:t>
            </w:r>
          </w:p>
        </w:tc>
        <w:tc>
          <w:tcPr>
            <w:tcW w:w="2055" w:type="dxa"/>
            <w:shd w:val="clear" w:color="auto" w:fill="D9D9D9"/>
          </w:tcPr>
          <w:p w:rsidR="00A06117" w:rsidRPr="00E96ADB" w:rsidRDefault="00A06117" w:rsidP="00040F4A">
            <w:pPr>
              <w:autoSpaceDE w:val="0"/>
              <w:autoSpaceDN w:val="0"/>
              <w:adjustRightInd w:val="0"/>
              <w:jc w:val="center"/>
              <w:rPr>
                <w:rFonts w:cs="Arial"/>
              </w:rPr>
            </w:pPr>
            <w:r>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A06117" w:rsidP="00040F4A">
            <w:pPr>
              <w:autoSpaceDE w:val="0"/>
              <w:autoSpaceDN w:val="0"/>
              <w:adjustRightInd w:val="0"/>
              <w:jc w:val="center"/>
              <w:rPr>
                <w:rFonts w:cs="Arial"/>
              </w:rPr>
            </w:pPr>
            <w:r>
              <w:rPr>
                <w:rFonts w:cs="Arial"/>
              </w:rPr>
              <w:t>5</w:t>
            </w:r>
            <w:r w:rsidRPr="00E96ADB">
              <w:rPr>
                <w:rFonts w:cs="Arial"/>
              </w:rPr>
              <w:t>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OH</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5</w:t>
            </w:r>
          </w:p>
        </w:tc>
        <w:tc>
          <w:tcPr>
            <w:tcW w:w="106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2</w:t>
            </w: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3</w:t>
            </w:r>
          </w:p>
        </w:tc>
        <w:tc>
          <w:tcPr>
            <w:tcW w:w="822" w:type="dxa"/>
            <w:shd w:val="clear" w:color="auto" w:fill="D9D9D9"/>
          </w:tcPr>
          <w:p w:rsidR="00A06117" w:rsidRPr="00E96ADB" w:rsidRDefault="00176E69" w:rsidP="00040F4A">
            <w:pPr>
              <w:autoSpaceDE w:val="0"/>
              <w:autoSpaceDN w:val="0"/>
              <w:adjustRightInd w:val="0"/>
              <w:jc w:val="center"/>
              <w:rPr>
                <w:rFonts w:cs="Arial"/>
              </w:rPr>
            </w:pPr>
            <w:r>
              <w:rPr>
                <w:rFonts w:cs="Arial"/>
              </w:rPr>
              <w:t>5</w:t>
            </w:r>
            <w:r w:rsidR="00A06117" w:rsidRPr="00E96ADB">
              <w:rPr>
                <w:rFonts w:cs="Arial"/>
              </w:rPr>
              <w:t>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PA</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5</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5</w:t>
            </w:r>
          </w:p>
        </w:tc>
        <w:tc>
          <w:tcPr>
            <w:tcW w:w="106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3</w:t>
            </w: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2</w:t>
            </w: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SC</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5</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TN</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4</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1</w:t>
            </w:r>
          </w:p>
        </w:tc>
        <w:tc>
          <w:tcPr>
            <w:tcW w:w="822" w:type="dxa"/>
            <w:shd w:val="clear" w:color="auto" w:fill="D9D9D9"/>
          </w:tcPr>
          <w:p w:rsidR="00A06117" w:rsidRPr="00E96ADB" w:rsidRDefault="00176E69" w:rsidP="00040F4A">
            <w:pPr>
              <w:autoSpaceDE w:val="0"/>
              <w:autoSpaceDN w:val="0"/>
              <w:adjustRightInd w:val="0"/>
              <w:jc w:val="center"/>
              <w:rPr>
                <w:rFonts w:cs="Arial"/>
              </w:rPr>
            </w:pPr>
            <w:r>
              <w:rPr>
                <w:rFonts w:cs="Arial"/>
              </w:rPr>
              <w:t>75</w:t>
            </w:r>
            <w:r w:rsidR="00A06117"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VA</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3</w:t>
            </w: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176E69" w:rsidP="00040F4A">
            <w:pPr>
              <w:autoSpaceDE w:val="0"/>
              <w:autoSpaceDN w:val="0"/>
              <w:adjustRightInd w:val="0"/>
              <w:jc w:val="center"/>
              <w:rPr>
                <w:rFonts w:cs="Arial"/>
              </w:rPr>
            </w:pPr>
            <w:r>
              <w:rPr>
                <w:rFonts w:cs="Arial"/>
              </w:rPr>
              <w:t>0</w:t>
            </w:r>
          </w:p>
        </w:tc>
        <w:tc>
          <w:tcPr>
            <w:tcW w:w="822" w:type="dxa"/>
            <w:shd w:val="clear" w:color="auto" w:fill="D9D9D9"/>
          </w:tcPr>
          <w:p w:rsidR="00A06117" w:rsidRPr="00E96ADB" w:rsidRDefault="00176E69" w:rsidP="00040F4A">
            <w:pPr>
              <w:autoSpaceDE w:val="0"/>
              <w:autoSpaceDN w:val="0"/>
              <w:adjustRightInd w:val="0"/>
              <w:jc w:val="center"/>
              <w:rPr>
                <w:rFonts w:cs="Arial"/>
              </w:rPr>
            </w:pPr>
            <w:r>
              <w:rPr>
                <w:rFonts w:cs="Arial"/>
              </w:rPr>
              <w:t>100</w:t>
            </w:r>
            <w:r w:rsidR="00A06117" w:rsidRPr="00E96ADB">
              <w:rPr>
                <w:rFonts w:cs="Arial"/>
              </w:rPr>
              <w:t>%</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WI</w:t>
            </w:r>
          </w:p>
        </w:tc>
        <w:tc>
          <w:tcPr>
            <w:tcW w:w="1028" w:type="dxa"/>
            <w:shd w:val="clear" w:color="auto" w:fill="D9D9D9"/>
          </w:tcPr>
          <w:p w:rsidR="00A06117" w:rsidRPr="00E96ADB" w:rsidRDefault="00176E69" w:rsidP="00040F4A">
            <w:pPr>
              <w:autoSpaceDE w:val="0"/>
              <w:autoSpaceDN w:val="0"/>
              <w:adjustRightInd w:val="0"/>
              <w:jc w:val="center"/>
              <w:rPr>
                <w:rFonts w:cs="Arial"/>
              </w:rPr>
            </w:pPr>
            <w:r>
              <w:rPr>
                <w:rFonts w:cs="Arial"/>
              </w:rPr>
              <w:t>5</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0</w:t>
            </w:r>
          </w:p>
        </w:tc>
        <w:tc>
          <w:tcPr>
            <w:tcW w:w="1068" w:type="dxa"/>
            <w:shd w:val="clear" w:color="auto" w:fill="D9D9D9"/>
          </w:tcPr>
          <w:p w:rsidR="00A06117" w:rsidRPr="00E96ADB" w:rsidRDefault="00A06117" w:rsidP="00040F4A">
            <w:pPr>
              <w:autoSpaceDE w:val="0"/>
              <w:autoSpaceDN w:val="0"/>
              <w:adjustRightInd w:val="0"/>
              <w:jc w:val="center"/>
              <w:rPr>
                <w:rFonts w:cs="Arial"/>
              </w:rPr>
            </w:pPr>
          </w:p>
        </w:tc>
        <w:tc>
          <w:tcPr>
            <w:tcW w:w="1490" w:type="dxa"/>
            <w:shd w:val="clear" w:color="auto" w:fill="D9D9D9"/>
          </w:tcPr>
          <w:p w:rsidR="00A06117" w:rsidRPr="00E96ADB" w:rsidRDefault="00A06117" w:rsidP="00040F4A">
            <w:pPr>
              <w:autoSpaceDE w:val="0"/>
              <w:autoSpaceDN w:val="0"/>
              <w:adjustRightInd w:val="0"/>
              <w:jc w:val="center"/>
              <w:rPr>
                <w:rFonts w:cs="Arial"/>
              </w:rPr>
            </w:pP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100%</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WV</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7</w:t>
            </w:r>
          </w:p>
        </w:tc>
        <w:tc>
          <w:tcPr>
            <w:tcW w:w="2055"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2</w:t>
            </w:r>
          </w:p>
        </w:tc>
        <w:tc>
          <w:tcPr>
            <w:tcW w:w="106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1490"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w:t>
            </w:r>
          </w:p>
        </w:tc>
        <w:tc>
          <w:tcPr>
            <w:tcW w:w="822"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71%</w:t>
            </w: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Total</w:t>
            </w:r>
          </w:p>
        </w:tc>
        <w:tc>
          <w:tcPr>
            <w:tcW w:w="1028"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10</w:t>
            </w:r>
            <w:r>
              <w:rPr>
                <w:rFonts w:cs="Arial"/>
              </w:rPr>
              <w:t>8</w:t>
            </w:r>
          </w:p>
        </w:tc>
        <w:tc>
          <w:tcPr>
            <w:tcW w:w="2055" w:type="dxa"/>
            <w:shd w:val="clear" w:color="auto" w:fill="D9D9D9"/>
          </w:tcPr>
          <w:p w:rsidR="00A06117" w:rsidRPr="00E96ADB" w:rsidRDefault="00A06117" w:rsidP="00176E69">
            <w:pPr>
              <w:autoSpaceDE w:val="0"/>
              <w:autoSpaceDN w:val="0"/>
              <w:adjustRightInd w:val="0"/>
              <w:jc w:val="center"/>
              <w:rPr>
                <w:rFonts w:cs="Arial"/>
              </w:rPr>
            </w:pPr>
            <w:r w:rsidRPr="00E96ADB">
              <w:rPr>
                <w:rFonts w:cs="Arial"/>
              </w:rPr>
              <w:t>3</w:t>
            </w:r>
            <w:r w:rsidR="00176E69">
              <w:rPr>
                <w:rFonts w:cs="Arial"/>
              </w:rPr>
              <w:t>1</w:t>
            </w:r>
          </w:p>
        </w:tc>
        <w:tc>
          <w:tcPr>
            <w:tcW w:w="1068" w:type="dxa"/>
            <w:shd w:val="clear" w:color="auto" w:fill="D9D9D9"/>
          </w:tcPr>
          <w:p w:rsidR="00A06117" w:rsidRPr="00E96ADB" w:rsidRDefault="00A06117" w:rsidP="00176E69">
            <w:pPr>
              <w:autoSpaceDE w:val="0"/>
              <w:autoSpaceDN w:val="0"/>
              <w:adjustRightInd w:val="0"/>
              <w:jc w:val="center"/>
              <w:rPr>
                <w:rFonts w:cs="Arial"/>
              </w:rPr>
            </w:pPr>
            <w:r w:rsidRPr="00E96ADB">
              <w:rPr>
                <w:rFonts w:cs="Arial"/>
              </w:rPr>
              <w:t>1</w:t>
            </w:r>
            <w:r w:rsidR="00176E69">
              <w:rPr>
                <w:rFonts w:cs="Arial"/>
              </w:rPr>
              <w:t>1</w:t>
            </w:r>
          </w:p>
        </w:tc>
        <w:tc>
          <w:tcPr>
            <w:tcW w:w="1490"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2</w:t>
            </w:r>
            <w:r>
              <w:rPr>
                <w:rFonts w:cs="Arial"/>
              </w:rPr>
              <w:t>0</w:t>
            </w:r>
          </w:p>
        </w:tc>
        <w:tc>
          <w:tcPr>
            <w:tcW w:w="822" w:type="dxa"/>
            <w:shd w:val="clear" w:color="auto" w:fill="D9D9D9"/>
          </w:tcPr>
          <w:p w:rsidR="00A06117" w:rsidRPr="00E96ADB" w:rsidRDefault="00A06117" w:rsidP="00040F4A">
            <w:pPr>
              <w:autoSpaceDE w:val="0"/>
              <w:autoSpaceDN w:val="0"/>
              <w:adjustRightInd w:val="0"/>
              <w:jc w:val="center"/>
              <w:rPr>
                <w:rFonts w:cs="Arial"/>
              </w:rPr>
            </w:pP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r w:rsidR="00A06117" w:rsidTr="00040F4A">
        <w:tc>
          <w:tcPr>
            <w:tcW w:w="1217"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Percentage of Total</w:t>
            </w:r>
          </w:p>
        </w:tc>
        <w:tc>
          <w:tcPr>
            <w:tcW w:w="1028" w:type="dxa"/>
            <w:shd w:val="clear" w:color="auto" w:fill="D9D9D9"/>
          </w:tcPr>
          <w:p w:rsidR="00A06117" w:rsidRPr="00E96ADB" w:rsidRDefault="00A06117" w:rsidP="00040F4A">
            <w:pPr>
              <w:autoSpaceDE w:val="0"/>
              <w:autoSpaceDN w:val="0"/>
              <w:adjustRightInd w:val="0"/>
              <w:jc w:val="center"/>
              <w:rPr>
                <w:rFonts w:cs="Arial"/>
              </w:rPr>
            </w:pPr>
          </w:p>
        </w:tc>
        <w:tc>
          <w:tcPr>
            <w:tcW w:w="2055" w:type="dxa"/>
            <w:shd w:val="clear" w:color="auto" w:fill="D9D9D9"/>
          </w:tcPr>
          <w:p w:rsidR="00A06117" w:rsidRPr="00E96ADB" w:rsidRDefault="00176E69" w:rsidP="00040F4A">
            <w:pPr>
              <w:autoSpaceDE w:val="0"/>
              <w:autoSpaceDN w:val="0"/>
              <w:adjustRightInd w:val="0"/>
              <w:jc w:val="center"/>
              <w:rPr>
                <w:rFonts w:cs="Arial"/>
              </w:rPr>
            </w:pPr>
            <w:r>
              <w:rPr>
                <w:rFonts w:cs="Arial"/>
              </w:rPr>
              <w:t>29</w:t>
            </w:r>
            <w:r w:rsidR="00A06117" w:rsidRPr="00E96ADB">
              <w:rPr>
                <w:rFonts w:cs="Arial"/>
              </w:rPr>
              <w:t>%</w:t>
            </w:r>
          </w:p>
        </w:tc>
        <w:tc>
          <w:tcPr>
            <w:tcW w:w="1068" w:type="dxa"/>
            <w:shd w:val="clear" w:color="auto" w:fill="D9D9D9"/>
          </w:tcPr>
          <w:p w:rsidR="00A06117" w:rsidRPr="00E96ADB" w:rsidRDefault="00176E69" w:rsidP="00040F4A">
            <w:pPr>
              <w:autoSpaceDE w:val="0"/>
              <w:autoSpaceDN w:val="0"/>
              <w:adjustRightInd w:val="0"/>
              <w:jc w:val="center"/>
              <w:rPr>
                <w:rFonts w:cs="Arial"/>
              </w:rPr>
            </w:pPr>
            <w:r>
              <w:rPr>
                <w:rFonts w:cs="Arial"/>
              </w:rPr>
              <w:t>10</w:t>
            </w:r>
            <w:r w:rsidR="00A06117" w:rsidRPr="00E96ADB">
              <w:rPr>
                <w:rFonts w:cs="Arial"/>
              </w:rPr>
              <w:t>%</w:t>
            </w:r>
          </w:p>
        </w:tc>
        <w:tc>
          <w:tcPr>
            <w:tcW w:w="1490" w:type="dxa"/>
            <w:shd w:val="clear" w:color="auto" w:fill="D9D9D9"/>
          </w:tcPr>
          <w:p w:rsidR="00A06117" w:rsidRPr="00E96ADB" w:rsidRDefault="00A06117" w:rsidP="00040F4A">
            <w:pPr>
              <w:autoSpaceDE w:val="0"/>
              <w:autoSpaceDN w:val="0"/>
              <w:adjustRightInd w:val="0"/>
              <w:jc w:val="center"/>
              <w:rPr>
                <w:rFonts w:cs="Arial"/>
              </w:rPr>
            </w:pPr>
            <w:r w:rsidRPr="00E96ADB">
              <w:rPr>
                <w:rFonts w:cs="Arial"/>
              </w:rPr>
              <w:t>19%</w:t>
            </w:r>
          </w:p>
        </w:tc>
        <w:tc>
          <w:tcPr>
            <w:tcW w:w="822" w:type="dxa"/>
            <w:shd w:val="clear" w:color="auto" w:fill="D9D9D9"/>
          </w:tcPr>
          <w:p w:rsidR="00A06117" w:rsidRPr="00E96ADB" w:rsidRDefault="00A06117" w:rsidP="00040F4A">
            <w:pPr>
              <w:autoSpaceDE w:val="0"/>
              <w:autoSpaceDN w:val="0"/>
              <w:adjustRightInd w:val="0"/>
              <w:jc w:val="center"/>
              <w:rPr>
                <w:rFonts w:cs="Arial"/>
              </w:rPr>
            </w:pPr>
          </w:p>
        </w:tc>
        <w:tc>
          <w:tcPr>
            <w:tcW w:w="1176" w:type="dxa"/>
            <w:shd w:val="clear" w:color="auto" w:fill="D9D9D9"/>
          </w:tcPr>
          <w:p w:rsidR="00A06117" w:rsidRPr="00E96ADB" w:rsidRDefault="00A06117" w:rsidP="00040F4A">
            <w:pPr>
              <w:autoSpaceDE w:val="0"/>
              <w:autoSpaceDN w:val="0"/>
              <w:adjustRightInd w:val="0"/>
              <w:jc w:val="center"/>
              <w:rPr>
                <w:rFonts w:cs="Arial"/>
              </w:rPr>
            </w:pPr>
          </w:p>
        </w:tc>
      </w:tr>
    </w:tbl>
    <w:p w:rsidR="00A06117" w:rsidRPr="00A3720F" w:rsidRDefault="00A06117" w:rsidP="00A3720F">
      <w:pPr>
        <w:autoSpaceDE w:val="0"/>
        <w:autoSpaceDN w:val="0"/>
        <w:adjustRightInd w:val="0"/>
        <w:jc w:val="center"/>
        <w:rPr>
          <w:rFonts w:cs="Arial"/>
          <w:b/>
        </w:rPr>
      </w:pPr>
    </w:p>
    <w:p w:rsidR="00671415" w:rsidRDefault="00671415" w:rsidP="00493929">
      <w:pPr>
        <w:autoSpaceDE w:val="0"/>
        <w:autoSpaceDN w:val="0"/>
        <w:adjustRightInd w:val="0"/>
        <w:rPr>
          <w:rFonts w:cs="Arial"/>
          <w:u w:val="single"/>
        </w:rPr>
      </w:pPr>
    </w:p>
    <w:p w:rsidR="00176E69" w:rsidRDefault="00176E69"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0A5270" w:rsidRDefault="000A5270" w:rsidP="00176E69">
      <w:pPr>
        <w:autoSpaceDE w:val="0"/>
        <w:autoSpaceDN w:val="0"/>
        <w:adjustRightInd w:val="0"/>
        <w:jc w:val="center"/>
        <w:rPr>
          <w:rFonts w:cs="Arial"/>
          <w:b/>
        </w:rPr>
      </w:pPr>
    </w:p>
    <w:p w:rsidR="00176E69" w:rsidRDefault="00176E69" w:rsidP="00176E69">
      <w:pPr>
        <w:autoSpaceDE w:val="0"/>
        <w:autoSpaceDN w:val="0"/>
        <w:adjustRightInd w:val="0"/>
        <w:jc w:val="center"/>
        <w:rPr>
          <w:rFonts w:cs="Arial"/>
          <w:b/>
        </w:rPr>
      </w:pPr>
      <w:r w:rsidRPr="00A3720F">
        <w:rPr>
          <w:rFonts w:cs="Arial"/>
          <w:b/>
        </w:rPr>
        <w:t>Coal EGU SCR Use Score as of 201</w:t>
      </w:r>
      <w:r>
        <w:rPr>
          <w:rFonts w:cs="Arial"/>
          <w:b/>
        </w:rPr>
        <w:t>3</w:t>
      </w:r>
      <w:r w:rsidRPr="00A3720F">
        <w:rPr>
          <w:rFonts w:cs="Arial"/>
          <w:b/>
        </w:rPr>
        <w:t xml:space="preserve"> Ozone Season</w:t>
      </w:r>
    </w:p>
    <w:p w:rsidR="00176E69" w:rsidRDefault="00176E69" w:rsidP="00493929">
      <w:pPr>
        <w:autoSpaceDE w:val="0"/>
        <w:autoSpaceDN w:val="0"/>
        <w:adjustRightInd w:val="0"/>
        <w:rPr>
          <w:rFonts w:cs="Arial"/>
          <w:u w:val="single"/>
        </w:rPr>
      </w:pPr>
    </w:p>
    <w:p w:rsidR="00176E69" w:rsidRPr="000A5270" w:rsidRDefault="00DB16B8" w:rsidP="00493929">
      <w:pPr>
        <w:autoSpaceDE w:val="0"/>
        <w:autoSpaceDN w:val="0"/>
        <w:adjustRightInd w:val="0"/>
        <w:rPr>
          <w:rFonts w:cs="Arial"/>
        </w:rPr>
      </w:pPr>
      <w:r>
        <w:rPr>
          <w:rFonts w:cs="Arial"/>
          <w:noProof/>
        </w:rPr>
        <w:drawing>
          <wp:inline distT="0" distB="0" distL="0" distR="0">
            <wp:extent cx="5943600" cy="42862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943600" cy="4286250"/>
                    </a:xfrm>
                    <a:prstGeom prst="rect">
                      <a:avLst/>
                    </a:prstGeom>
                    <a:noFill/>
                    <a:ln w="9525">
                      <a:noFill/>
                      <a:miter lim="800000"/>
                      <a:headEnd/>
                      <a:tailEnd/>
                    </a:ln>
                  </pic:spPr>
                </pic:pic>
              </a:graphicData>
            </a:graphic>
          </wp:inline>
        </w:drawing>
      </w:r>
    </w:p>
    <w:p w:rsidR="00493929" w:rsidRPr="000A5270" w:rsidRDefault="00493929" w:rsidP="006B6BE8">
      <w:pPr>
        <w:autoSpaceDE w:val="0"/>
        <w:autoSpaceDN w:val="0"/>
        <w:adjustRightInd w:val="0"/>
        <w:rPr>
          <w:rFonts w:cs="Arial"/>
        </w:rPr>
      </w:pPr>
    </w:p>
    <w:p w:rsidR="008854B5" w:rsidRDefault="008854B5" w:rsidP="006B6BE8">
      <w:pPr>
        <w:autoSpaceDE w:val="0"/>
        <w:autoSpaceDN w:val="0"/>
        <w:adjustRightInd w:val="0"/>
        <w:rPr>
          <w:rFonts w:cs="Arial"/>
          <w:u w:val="single"/>
        </w:rPr>
      </w:pPr>
    </w:p>
    <w:p w:rsidR="006B6BE8" w:rsidRPr="00A3720F" w:rsidRDefault="00C41467" w:rsidP="005178DB">
      <w:pPr>
        <w:numPr>
          <w:ilvl w:val="0"/>
          <w:numId w:val="33"/>
        </w:numPr>
        <w:autoSpaceDE w:val="0"/>
        <w:autoSpaceDN w:val="0"/>
        <w:adjustRightInd w:val="0"/>
        <w:rPr>
          <w:rFonts w:cs="Arial"/>
          <w:b/>
          <w:u w:val="single"/>
        </w:rPr>
      </w:pPr>
      <w:r w:rsidRPr="00A3720F">
        <w:rPr>
          <w:rFonts w:cs="Arial"/>
          <w:b/>
          <w:u w:val="single"/>
        </w:rPr>
        <w:t xml:space="preserve">Analysis </w:t>
      </w:r>
      <w:r w:rsidR="00493929" w:rsidRPr="00A3720F">
        <w:rPr>
          <w:rFonts w:cs="Arial"/>
          <w:b/>
          <w:u w:val="single"/>
        </w:rPr>
        <w:t>5</w:t>
      </w:r>
      <w:r w:rsidR="006B6BE8" w:rsidRPr="00A3720F">
        <w:rPr>
          <w:rFonts w:cs="Arial"/>
          <w:b/>
          <w:u w:val="single"/>
        </w:rPr>
        <w:t xml:space="preserve">: </w:t>
      </w:r>
      <w:r w:rsidR="00A3720F" w:rsidRPr="00A3720F">
        <w:rPr>
          <w:rFonts w:cs="Arial"/>
          <w:b/>
          <w:u w:val="single"/>
        </w:rPr>
        <w:t xml:space="preserve">Recommendation for Modeling of Short Term NOx Emission </w:t>
      </w:r>
      <w:r w:rsidR="00A3720F" w:rsidRPr="009707B6">
        <w:rPr>
          <w:rFonts w:cs="Arial"/>
          <w:b/>
          <w:u w:val="single"/>
        </w:rPr>
        <w:t>Limits</w:t>
      </w:r>
      <w:r w:rsidR="00741640">
        <w:rPr>
          <w:rStyle w:val="FootnoteReference"/>
          <w:rFonts w:cs="Arial"/>
          <w:b/>
          <w:u w:val="single"/>
        </w:rPr>
        <w:footnoteReference w:id="6"/>
      </w:r>
    </w:p>
    <w:p w:rsidR="006B6BE8" w:rsidRDefault="006B6BE8" w:rsidP="006B6BE8">
      <w:pPr>
        <w:autoSpaceDE w:val="0"/>
        <w:autoSpaceDN w:val="0"/>
        <w:adjustRightInd w:val="0"/>
        <w:rPr>
          <w:rFonts w:cs="Arial"/>
          <w:u w:val="single"/>
        </w:rPr>
      </w:pPr>
    </w:p>
    <w:p w:rsidR="009D7B50" w:rsidRDefault="009D7B50" w:rsidP="006B6BE8">
      <w:pPr>
        <w:autoSpaceDE w:val="0"/>
        <w:autoSpaceDN w:val="0"/>
        <w:adjustRightInd w:val="0"/>
        <w:rPr>
          <w:rFonts w:cs="Arial"/>
          <w:u w:val="single"/>
        </w:rPr>
      </w:pPr>
      <w:r>
        <w:rPr>
          <w:rFonts w:cs="Arial"/>
          <w:u w:val="single"/>
        </w:rPr>
        <w:t>A</w:t>
      </w:r>
      <w:r w:rsidR="00502614">
        <w:rPr>
          <w:rFonts w:cs="Arial"/>
          <w:u w:val="single"/>
        </w:rPr>
        <w:t>nalysis</w:t>
      </w:r>
    </w:p>
    <w:p w:rsidR="009D7B50" w:rsidRDefault="009D7B50" w:rsidP="006B6BE8">
      <w:pPr>
        <w:autoSpaceDE w:val="0"/>
        <w:autoSpaceDN w:val="0"/>
        <w:adjustRightInd w:val="0"/>
        <w:rPr>
          <w:rFonts w:cs="Arial"/>
          <w:u w:val="single"/>
        </w:rPr>
      </w:pPr>
    </w:p>
    <w:p w:rsidR="00EE51E9" w:rsidRDefault="00345971" w:rsidP="006B6BE8">
      <w:pPr>
        <w:autoSpaceDE w:val="0"/>
        <w:autoSpaceDN w:val="0"/>
        <w:adjustRightInd w:val="0"/>
        <w:rPr>
          <w:rFonts w:cs="Arial"/>
        </w:rPr>
      </w:pPr>
      <w:r>
        <w:rPr>
          <w:rFonts w:cs="Arial"/>
        </w:rPr>
        <w:t xml:space="preserve">EGU </w:t>
      </w:r>
      <w:r w:rsidR="000B0376">
        <w:rPr>
          <w:rFonts w:cs="Arial"/>
        </w:rPr>
        <w:t>NOx emission rate data indicates that many of the EGU exhibited average NOx emission rates in excess of what might be expected for EGUs incorporat</w:t>
      </w:r>
      <w:r w:rsidR="00A3720F">
        <w:rPr>
          <w:rFonts w:cs="Arial"/>
        </w:rPr>
        <w:t>ing</w:t>
      </w:r>
      <w:r w:rsidR="000B0376">
        <w:rPr>
          <w:rFonts w:cs="Arial"/>
        </w:rPr>
        <w:t xml:space="preserve"> post-combustion controls</w:t>
      </w:r>
      <w:r w:rsidR="00EE51E9">
        <w:rPr>
          <w:rFonts w:cs="Arial"/>
        </w:rPr>
        <w:t>.</w:t>
      </w:r>
      <w:r w:rsidR="000B0376">
        <w:rPr>
          <w:rFonts w:cs="Arial"/>
        </w:rPr>
        <w:t xml:space="preserve"> </w:t>
      </w:r>
      <w:r w:rsidR="00502614">
        <w:rPr>
          <w:rFonts w:cs="Arial"/>
        </w:rPr>
        <w:t xml:space="preserve">In </w:t>
      </w:r>
      <w:r w:rsidR="000B0376">
        <w:rPr>
          <w:rFonts w:cs="Arial"/>
        </w:rPr>
        <w:t>recent ozone seasons</w:t>
      </w:r>
      <w:r w:rsidR="00502614">
        <w:rPr>
          <w:rFonts w:cs="Arial"/>
        </w:rPr>
        <w:t>,</w:t>
      </w:r>
      <w:r w:rsidR="000B0376">
        <w:rPr>
          <w:rFonts w:cs="Arial"/>
        </w:rPr>
        <w:t xml:space="preserve"> some EGUs reported to incorporate post-combustion NOx controls have exhibited average NOx emission rates higher than previous ozone season averages.</w:t>
      </w:r>
      <w:r w:rsidR="002422D4">
        <w:rPr>
          <w:rFonts w:cs="Arial"/>
        </w:rPr>
        <w:t xml:space="preserve">  Application of short term NOx emission rate limits that reflect the capabilities of NOx emissions controls</w:t>
      </w:r>
      <w:r w:rsidR="00EE51E9">
        <w:rPr>
          <w:rFonts w:cs="Arial"/>
        </w:rPr>
        <w:t xml:space="preserve"> can reduce short term emission </w:t>
      </w:r>
      <w:r w:rsidR="00B92319">
        <w:rPr>
          <w:rFonts w:cs="Arial"/>
        </w:rPr>
        <w:t>rates to</w:t>
      </w:r>
      <w:r w:rsidR="00EE51E9">
        <w:rPr>
          <w:rFonts w:cs="Arial"/>
        </w:rPr>
        <w:t xml:space="preserve"> rates expected from units with installed post combustion NOx controls.</w:t>
      </w:r>
    </w:p>
    <w:p w:rsidR="000B0376" w:rsidRDefault="000B0376" w:rsidP="006B6BE8">
      <w:pPr>
        <w:autoSpaceDE w:val="0"/>
        <w:autoSpaceDN w:val="0"/>
        <w:adjustRightInd w:val="0"/>
        <w:rPr>
          <w:rFonts w:cs="Arial"/>
          <w:u w:val="single"/>
        </w:rPr>
      </w:pPr>
    </w:p>
    <w:p w:rsidR="00CF00CA" w:rsidRDefault="00424AE3" w:rsidP="009171D1">
      <w:r>
        <w:t>T</w:t>
      </w:r>
      <w:r w:rsidR="006A3111">
        <w:t>he</w:t>
      </w:r>
      <w:r>
        <w:t xml:space="preserve"> </w:t>
      </w:r>
      <w:r w:rsidR="00EE51E9">
        <w:t>s</w:t>
      </w:r>
      <w:r w:rsidR="00CF00CA" w:rsidRPr="00CF00CA">
        <w:t xml:space="preserve">hort </w:t>
      </w:r>
      <w:r w:rsidR="00EE51E9">
        <w:t>t</w:t>
      </w:r>
      <w:r w:rsidR="00CF00CA" w:rsidRPr="00CF00CA">
        <w:t xml:space="preserve">erm NOx </w:t>
      </w:r>
      <w:r w:rsidR="00EE51E9">
        <w:t>l</w:t>
      </w:r>
      <w:r w:rsidR="00CF00CA" w:rsidRPr="00CF00CA">
        <w:t xml:space="preserve">imits listed </w:t>
      </w:r>
      <w:r>
        <w:t xml:space="preserve">in the following tables </w:t>
      </w:r>
      <w:r w:rsidR="00CF00CA" w:rsidRPr="00CF00CA">
        <w:t xml:space="preserve">as “Current Thinking” </w:t>
      </w:r>
      <w:r>
        <w:t xml:space="preserve">are </w:t>
      </w:r>
      <w:r w:rsidR="00CF00CA" w:rsidRPr="00CF00CA">
        <w:t xml:space="preserve">not intended to reflect technological edge of NOx control capability, but rather to represent NOx control retrofit </w:t>
      </w:r>
      <w:r>
        <w:t>capability for much of the EGU i</w:t>
      </w:r>
      <w:r w:rsidR="00CF00CA" w:rsidRPr="00CF00CA">
        <w:t>ndustry</w:t>
      </w:r>
      <w:r>
        <w:t xml:space="preserve">.  The </w:t>
      </w:r>
      <w:r w:rsidR="00CF00CA" w:rsidRPr="00CF00CA">
        <w:t xml:space="preserve">State rules included in analysis are from </w:t>
      </w:r>
      <w:r w:rsidR="00EE51E9" w:rsidRPr="00CF00CA">
        <w:t>C</w:t>
      </w:r>
      <w:r w:rsidR="00EE51E9">
        <w:t>onnecticut,</w:t>
      </w:r>
      <w:r w:rsidR="00CF00CA" w:rsidRPr="00CF00CA">
        <w:t xml:space="preserve"> D</w:t>
      </w:r>
      <w:r w:rsidR="00EE51E9">
        <w:t>elaware</w:t>
      </w:r>
      <w:r w:rsidR="00CF00CA" w:rsidRPr="00CF00CA">
        <w:t>, N</w:t>
      </w:r>
      <w:r w:rsidR="00EE51E9">
        <w:t xml:space="preserve">ew </w:t>
      </w:r>
      <w:r w:rsidR="00CF00CA" w:rsidRPr="00CF00CA">
        <w:t>H</w:t>
      </w:r>
      <w:r w:rsidR="00EE51E9">
        <w:t>ampshire</w:t>
      </w:r>
      <w:r w:rsidR="00CF00CA" w:rsidRPr="00CF00CA">
        <w:t>, N</w:t>
      </w:r>
      <w:r w:rsidR="00EE51E9">
        <w:t xml:space="preserve">ew </w:t>
      </w:r>
      <w:r w:rsidR="00CF00CA" w:rsidRPr="00CF00CA">
        <w:t>J</w:t>
      </w:r>
      <w:r w:rsidR="00EE51E9">
        <w:t>ersey</w:t>
      </w:r>
      <w:r w:rsidR="00CF00CA" w:rsidRPr="00CF00CA">
        <w:t>, N</w:t>
      </w:r>
      <w:r w:rsidR="00EE51E9">
        <w:t xml:space="preserve">ew </w:t>
      </w:r>
      <w:r w:rsidR="00CF00CA" w:rsidRPr="00CF00CA">
        <w:t>Y</w:t>
      </w:r>
      <w:r w:rsidR="00EE51E9">
        <w:t>ork</w:t>
      </w:r>
      <w:r w:rsidR="00CF00CA" w:rsidRPr="00CF00CA">
        <w:t xml:space="preserve"> </w:t>
      </w:r>
      <w:r w:rsidR="00EE51E9">
        <w:t xml:space="preserve">and </w:t>
      </w:r>
      <w:r w:rsidR="00EE51E9" w:rsidRPr="00CF00CA">
        <w:t>Wisconsin</w:t>
      </w:r>
      <w:r w:rsidR="00EF65CC">
        <w:t xml:space="preserve">.  The averaging times for the </w:t>
      </w:r>
      <w:r w:rsidR="00CF00CA" w:rsidRPr="00CF00CA">
        <w:t>EGU boiler NOx limits</w:t>
      </w:r>
      <w:r w:rsidR="00EF65CC">
        <w:t xml:space="preserve"> found in state rules are stated in terms of</w:t>
      </w:r>
      <w:r w:rsidR="00CF00CA" w:rsidRPr="00CF00CA">
        <w:t xml:space="preserve"> 24 hr</w:t>
      </w:r>
      <w:r w:rsidR="00EF65CC">
        <w:t>.</w:t>
      </w:r>
      <w:r w:rsidR="00CF00CA" w:rsidRPr="00CF00CA">
        <w:t xml:space="preserve"> </w:t>
      </w:r>
      <w:r w:rsidR="00EF65CC">
        <w:t xml:space="preserve">rolling averages or 24 hr. calendar day averages.   </w:t>
      </w:r>
      <w:r w:rsidR="00CF00CA" w:rsidRPr="00CF00CA">
        <w:t xml:space="preserve">EGU </w:t>
      </w:r>
      <w:r w:rsidR="00B675C3">
        <w:t xml:space="preserve">combustion </w:t>
      </w:r>
      <w:r w:rsidR="00CF00CA" w:rsidRPr="00CF00CA">
        <w:t xml:space="preserve">turbine NOx limits </w:t>
      </w:r>
      <w:r w:rsidR="00EF65CC">
        <w:t xml:space="preserve">found </w:t>
      </w:r>
      <w:r w:rsidR="00CF00CA" w:rsidRPr="00CF00CA">
        <w:t>in state ru</w:t>
      </w:r>
      <w:r w:rsidR="00EF65CC">
        <w:t>les varied from state to state with some 1</w:t>
      </w:r>
      <w:r w:rsidR="00934D9A">
        <w:t xml:space="preserve"> </w:t>
      </w:r>
      <w:r w:rsidR="00EF65CC">
        <w:t>hr avg. limits, some 24 hr avg. limits and some 30 day rolling avg. limits.  The conversion factor used f</w:t>
      </w:r>
      <w:r w:rsidR="00CF00CA" w:rsidRPr="00CF00CA">
        <w:t>or EGU boilers assumed 0.1 lb/MM Btu ≈ 1.0 lb/MWh</w:t>
      </w:r>
      <w:r w:rsidR="00EF65CC">
        <w:t xml:space="preserve">.  </w:t>
      </w:r>
      <w:r w:rsidR="00CF00CA" w:rsidRPr="00CF00CA">
        <w:t xml:space="preserve">For </w:t>
      </w:r>
      <w:r w:rsidR="0061633C">
        <w:t>s</w:t>
      </w:r>
      <w:r w:rsidR="00CF00CA" w:rsidRPr="00CF00CA">
        <w:t xml:space="preserve">imple cycle turbines </w:t>
      </w:r>
      <w:r w:rsidR="004A7541">
        <w:t xml:space="preserve">combusting natural gas fuel </w:t>
      </w:r>
      <w:r w:rsidR="00EF65CC">
        <w:t xml:space="preserve">it was </w:t>
      </w:r>
      <w:r w:rsidR="00CF00CA" w:rsidRPr="00CF00CA">
        <w:t xml:space="preserve">assumed </w:t>
      </w:r>
      <w:r w:rsidR="00EF65CC">
        <w:t xml:space="preserve">that </w:t>
      </w:r>
      <w:r w:rsidR="00CF00CA" w:rsidRPr="00CF00CA">
        <w:t>50 ppmvd@15%O2 ≈ 0.1838 lb/MM Btu</w:t>
      </w:r>
      <w:r w:rsidR="00EF65CC">
        <w:t xml:space="preserve">.  </w:t>
      </w:r>
      <w:r w:rsidR="00CF00CA" w:rsidRPr="00CF00CA">
        <w:t xml:space="preserve">For </w:t>
      </w:r>
      <w:r w:rsidR="004A7541">
        <w:t>c</w:t>
      </w:r>
      <w:r w:rsidR="00CF00CA" w:rsidRPr="00CF00CA">
        <w:t xml:space="preserve">ombined cycle turbines </w:t>
      </w:r>
      <w:r w:rsidR="004A7541">
        <w:t xml:space="preserve">combusting natural gas fuel </w:t>
      </w:r>
      <w:r w:rsidR="00EF65CC">
        <w:t xml:space="preserve">it was </w:t>
      </w:r>
      <w:r w:rsidR="00CF00CA" w:rsidRPr="00CF00CA">
        <w:t>assumed</w:t>
      </w:r>
      <w:r w:rsidR="00EF65CC">
        <w:t xml:space="preserve"> that</w:t>
      </w:r>
      <w:r w:rsidR="00CF00CA" w:rsidRPr="00CF00CA">
        <w:t xml:space="preserve"> 42 ppmvd@15%O2 ≈ 0.</w:t>
      </w:r>
      <w:r w:rsidR="004A7541">
        <w:t>1544</w:t>
      </w:r>
      <w:r w:rsidR="00CF00CA" w:rsidRPr="00CF00CA">
        <w:t xml:space="preserve"> lb/MMBtu</w:t>
      </w:r>
      <w:r w:rsidR="00EE51E9">
        <w:t>.</w:t>
      </w:r>
      <w:r w:rsidR="00CF00CA" w:rsidRPr="00CF00CA">
        <w:t xml:space="preserve"> </w:t>
      </w:r>
    </w:p>
    <w:p w:rsidR="00EE51E9" w:rsidRDefault="00EE51E9" w:rsidP="009171D1"/>
    <w:p w:rsidR="00EE51E9" w:rsidRDefault="00DB16B8" w:rsidP="005B50B0">
      <w:pPr>
        <w:jc w:val="center"/>
      </w:pPr>
      <w:r>
        <w:rPr>
          <w:noProof/>
        </w:rPr>
        <w:drawing>
          <wp:inline distT="0" distB="0" distL="0" distR="0">
            <wp:extent cx="4819650" cy="3219450"/>
            <wp:effectExtent l="19050" t="0" r="0" b="0"/>
            <wp:docPr id="1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cstate="print"/>
                    <a:srcRect/>
                    <a:stretch>
                      <a:fillRect/>
                    </a:stretch>
                  </pic:blipFill>
                  <pic:spPr bwMode="auto">
                    <a:xfrm>
                      <a:off x="0" y="0"/>
                      <a:ext cx="4819650" cy="3219450"/>
                    </a:xfrm>
                    <a:prstGeom prst="rect">
                      <a:avLst/>
                    </a:prstGeom>
                    <a:noFill/>
                    <a:ln w="9525">
                      <a:noFill/>
                      <a:miter lim="800000"/>
                      <a:headEnd/>
                      <a:tailEnd/>
                    </a:ln>
                  </pic:spPr>
                </pic:pic>
              </a:graphicData>
            </a:graphic>
          </wp:inline>
        </w:drawing>
      </w:r>
    </w:p>
    <w:p w:rsidR="005B50B0" w:rsidRDefault="005B50B0" w:rsidP="005B50B0">
      <w:pPr>
        <w:jc w:val="center"/>
      </w:pPr>
    </w:p>
    <w:p w:rsidR="005B50B0" w:rsidRDefault="00DB16B8" w:rsidP="005B50B0">
      <w:pPr>
        <w:jc w:val="center"/>
      </w:pPr>
      <w:r>
        <w:rPr>
          <w:noProof/>
        </w:rPr>
        <w:lastRenderedPageBreak/>
        <w:drawing>
          <wp:inline distT="0" distB="0" distL="0" distR="0">
            <wp:extent cx="4705350" cy="3190875"/>
            <wp:effectExtent l="19050" t="0" r="0" b="0"/>
            <wp:docPr id="18"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cstate="print"/>
                    <a:srcRect/>
                    <a:stretch>
                      <a:fillRect/>
                    </a:stretch>
                  </pic:blipFill>
                  <pic:spPr bwMode="auto">
                    <a:xfrm>
                      <a:off x="0" y="0"/>
                      <a:ext cx="4705350" cy="3190875"/>
                    </a:xfrm>
                    <a:prstGeom prst="rect">
                      <a:avLst/>
                    </a:prstGeom>
                    <a:noFill/>
                    <a:ln w="9525">
                      <a:noFill/>
                      <a:miter lim="800000"/>
                      <a:headEnd/>
                      <a:tailEnd/>
                    </a:ln>
                  </pic:spPr>
                </pic:pic>
              </a:graphicData>
            </a:graphic>
          </wp:inline>
        </w:drawing>
      </w:r>
    </w:p>
    <w:p w:rsidR="005B50B0" w:rsidRDefault="005B50B0" w:rsidP="005B50B0">
      <w:pPr>
        <w:jc w:val="center"/>
      </w:pPr>
    </w:p>
    <w:p w:rsidR="005B50B0" w:rsidRDefault="00DB16B8" w:rsidP="005B50B0">
      <w:pPr>
        <w:jc w:val="center"/>
      </w:pPr>
      <w:r>
        <w:rPr>
          <w:noProof/>
        </w:rPr>
        <w:drawing>
          <wp:inline distT="0" distB="0" distL="0" distR="0">
            <wp:extent cx="4724400" cy="2952750"/>
            <wp:effectExtent l="19050" t="0" r="0" b="0"/>
            <wp:docPr id="1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cstate="print"/>
                    <a:srcRect/>
                    <a:stretch>
                      <a:fillRect/>
                    </a:stretch>
                  </pic:blipFill>
                  <pic:spPr bwMode="auto">
                    <a:xfrm>
                      <a:off x="0" y="0"/>
                      <a:ext cx="4724400" cy="2952750"/>
                    </a:xfrm>
                    <a:prstGeom prst="rect">
                      <a:avLst/>
                    </a:prstGeom>
                    <a:noFill/>
                    <a:ln w="9525">
                      <a:noFill/>
                      <a:miter lim="800000"/>
                      <a:headEnd/>
                      <a:tailEnd/>
                    </a:ln>
                  </pic:spPr>
                </pic:pic>
              </a:graphicData>
            </a:graphic>
          </wp:inline>
        </w:drawing>
      </w:r>
    </w:p>
    <w:p w:rsidR="00BD6B19" w:rsidRDefault="00BD6B19" w:rsidP="005B50B0">
      <w:pPr>
        <w:jc w:val="center"/>
      </w:pPr>
    </w:p>
    <w:p w:rsidR="00BD6B19" w:rsidRDefault="00BD6B19" w:rsidP="005B50B0">
      <w:pPr>
        <w:jc w:val="center"/>
      </w:pPr>
    </w:p>
    <w:p w:rsidR="005B50B0" w:rsidRDefault="005B50B0" w:rsidP="005B50B0">
      <w:pPr>
        <w:jc w:val="center"/>
      </w:pPr>
    </w:p>
    <w:p w:rsidR="005B50B0" w:rsidRPr="00CF00CA" w:rsidRDefault="005B50B0" w:rsidP="005B50B0">
      <w:pPr>
        <w:jc w:val="center"/>
      </w:pPr>
    </w:p>
    <w:p w:rsidR="006A6A2E" w:rsidRPr="00ED3D1E" w:rsidRDefault="006A6A2E" w:rsidP="0026767E"/>
    <w:p w:rsidR="00CF00CA" w:rsidRPr="00ED3D1E" w:rsidRDefault="00CF00CA" w:rsidP="0026767E"/>
    <w:p w:rsidR="007A7F61" w:rsidRPr="00ED3D1E" w:rsidRDefault="007A7F61" w:rsidP="0026767E"/>
    <w:p w:rsidR="007A7F61" w:rsidRDefault="007A7F61" w:rsidP="0026767E"/>
    <w:p w:rsidR="007A7F61" w:rsidRDefault="007A7F61" w:rsidP="0026767E"/>
    <w:p w:rsidR="007A7F61" w:rsidRDefault="00DB16B8" w:rsidP="0026767E">
      <w:r>
        <w:rPr>
          <w:noProof/>
        </w:rPr>
        <w:lastRenderedPageBreak/>
        <w:drawing>
          <wp:inline distT="0" distB="0" distL="0" distR="0">
            <wp:extent cx="4629150" cy="3429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629150" cy="3429000"/>
                    </a:xfrm>
                    <a:prstGeom prst="rect">
                      <a:avLst/>
                    </a:prstGeom>
                    <a:noFill/>
                    <a:ln w="9525">
                      <a:noFill/>
                      <a:miter lim="800000"/>
                      <a:headEnd/>
                      <a:tailEnd/>
                    </a:ln>
                  </pic:spPr>
                </pic:pic>
              </a:graphicData>
            </a:graphic>
          </wp:inline>
        </w:drawing>
      </w:r>
    </w:p>
    <w:p w:rsidR="00345971" w:rsidRDefault="00345971" w:rsidP="0026767E"/>
    <w:p w:rsidR="00B254E1" w:rsidRDefault="00B254E1" w:rsidP="0026767E"/>
    <w:p w:rsidR="004B5CA4" w:rsidRPr="00B92969" w:rsidRDefault="00B92969" w:rsidP="004B5CA4">
      <w:pPr>
        <w:autoSpaceDE w:val="0"/>
        <w:autoSpaceDN w:val="0"/>
        <w:adjustRightInd w:val="0"/>
        <w:rPr>
          <w:rFonts w:cs="Arial"/>
          <w:u w:val="single"/>
        </w:rPr>
      </w:pPr>
      <w:r w:rsidRPr="00B92969">
        <w:rPr>
          <w:rFonts w:cs="Arial"/>
          <w:u w:val="single"/>
        </w:rPr>
        <w:t>Results</w:t>
      </w:r>
    </w:p>
    <w:p w:rsidR="00A86F21" w:rsidRDefault="00A86F21" w:rsidP="004B5CA4">
      <w:pPr>
        <w:autoSpaceDE w:val="0"/>
        <w:autoSpaceDN w:val="0"/>
        <w:adjustRightInd w:val="0"/>
        <w:rPr>
          <w:rFonts w:cs="Arial"/>
          <w:b/>
          <w:color w:val="FF0000"/>
        </w:rPr>
      </w:pPr>
    </w:p>
    <w:p w:rsidR="00660138" w:rsidRDefault="00660138" w:rsidP="004B5CA4">
      <w:pPr>
        <w:autoSpaceDE w:val="0"/>
        <w:autoSpaceDN w:val="0"/>
        <w:adjustRightInd w:val="0"/>
        <w:rPr>
          <w:rFonts w:cs="Arial"/>
        </w:rPr>
      </w:pPr>
    </w:p>
    <w:p w:rsidR="00C35F3C" w:rsidRDefault="00660138" w:rsidP="004B5CA4">
      <w:pPr>
        <w:autoSpaceDE w:val="0"/>
        <w:autoSpaceDN w:val="0"/>
        <w:adjustRightInd w:val="0"/>
        <w:rPr>
          <w:rFonts w:cs="Arial"/>
        </w:rPr>
      </w:pPr>
      <w:r w:rsidRPr="00DE63C0">
        <w:rPr>
          <w:rFonts w:cs="Arial"/>
        </w:rPr>
        <w:t>A potential solution</w:t>
      </w:r>
      <w:r w:rsidR="00A02C6D" w:rsidRPr="00DE63C0">
        <w:rPr>
          <w:rFonts w:cs="Arial"/>
        </w:rPr>
        <w:t xml:space="preserve"> to the air quality problems caused by sources not operating or limiting the operation of their emission controlling technology</w:t>
      </w:r>
      <w:r w:rsidR="0069673B" w:rsidRPr="00DE63C0">
        <w:rPr>
          <w:rFonts w:cs="Arial"/>
        </w:rPr>
        <w:t xml:space="preserve"> is the establishment of short term NOx emission rat</w:t>
      </w:r>
      <w:r w:rsidR="00752D8A" w:rsidRPr="00DE63C0">
        <w:rPr>
          <w:rFonts w:cs="Arial"/>
        </w:rPr>
        <w:t>e limits</w:t>
      </w:r>
      <w:r w:rsidRPr="00DE63C0">
        <w:rPr>
          <w:rFonts w:cs="Arial"/>
        </w:rPr>
        <w:t xml:space="preserve"> for EGUs</w:t>
      </w:r>
      <w:r w:rsidR="00752D8A" w:rsidRPr="00DE63C0">
        <w:rPr>
          <w:rFonts w:cs="Arial"/>
        </w:rPr>
        <w:t xml:space="preserve"> that are based on reported short term NOx emission rates and reflective</w:t>
      </w:r>
      <w:r w:rsidR="0069673B" w:rsidRPr="00DE63C0">
        <w:rPr>
          <w:rFonts w:cs="Arial"/>
        </w:rPr>
        <w:t xml:space="preserve"> of good emission control practices</w:t>
      </w:r>
      <w:r w:rsidR="00741640">
        <w:rPr>
          <w:rStyle w:val="FootnoteReference"/>
          <w:rFonts w:cs="Arial"/>
        </w:rPr>
        <w:footnoteReference w:id="7"/>
      </w:r>
      <w:r w:rsidR="0069673B" w:rsidRPr="00DE63C0">
        <w:rPr>
          <w:rFonts w:cs="Arial"/>
        </w:rPr>
        <w:t xml:space="preserve"> using reasonably available NOx</w:t>
      </w:r>
      <w:r w:rsidR="007C3BC5" w:rsidRPr="00DE63C0">
        <w:rPr>
          <w:rFonts w:cs="Arial"/>
        </w:rPr>
        <w:t xml:space="preserve"> emissions controls that are applicable for the particular types of EGUs.  </w:t>
      </w:r>
    </w:p>
    <w:p w:rsidR="00DE63C0" w:rsidRPr="00DE63C0" w:rsidRDefault="00DE63C0" w:rsidP="004B5CA4">
      <w:pPr>
        <w:autoSpaceDE w:val="0"/>
        <w:autoSpaceDN w:val="0"/>
        <w:adjustRightInd w:val="0"/>
        <w:rPr>
          <w:rFonts w:cs="Arial"/>
        </w:rPr>
      </w:pPr>
    </w:p>
    <w:p w:rsidR="002D648A" w:rsidRPr="00DE63C0" w:rsidRDefault="00512516" w:rsidP="002D648A">
      <w:pPr>
        <w:autoSpaceDE w:val="0"/>
        <w:autoSpaceDN w:val="0"/>
        <w:adjustRightInd w:val="0"/>
        <w:rPr>
          <w:rFonts w:cs="Arial"/>
        </w:rPr>
      </w:pPr>
      <w:r w:rsidRPr="00DE63C0">
        <w:rPr>
          <w:rFonts w:cs="Arial"/>
        </w:rPr>
        <w:t>The</w:t>
      </w:r>
      <w:r w:rsidR="002D648A" w:rsidRPr="00DE63C0">
        <w:rPr>
          <w:rFonts w:cs="Arial"/>
        </w:rPr>
        <w:t xml:space="preserve"> proposed</w:t>
      </w:r>
      <w:r w:rsidRPr="00DE63C0">
        <w:rPr>
          <w:rFonts w:cs="Arial"/>
        </w:rPr>
        <w:t xml:space="preserve"> s</w:t>
      </w:r>
      <w:r w:rsidR="00C35F3C" w:rsidRPr="00DE63C0">
        <w:rPr>
          <w:rFonts w:cs="Arial"/>
        </w:rPr>
        <w:t>hort term NOx emission rates</w:t>
      </w:r>
      <w:r w:rsidRPr="00DE63C0">
        <w:rPr>
          <w:rFonts w:cs="Arial"/>
        </w:rPr>
        <w:t xml:space="preserve"> </w:t>
      </w:r>
      <w:r w:rsidR="002D648A" w:rsidRPr="00DE63C0">
        <w:rPr>
          <w:rFonts w:cs="Arial"/>
        </w:rPr>
        <w:t>shown</w:t>
      </w:r>
      <w:r w:rsidRPr="00DE63C0">
        <w:rPr>
          <w:rFonts w:cs="Arial"/>
        </w:rPr>
        <w:t xml:space="preserve"> below are felt to be </w:t>
      </w:r>
      <w:r w:rsidR="00C35F3C" w:rsidRPr="00DE63C0">
        <w:rPr>
          <w:rFonts w:cs="Arial"/>
        </w:rPr>
        <w:t>reflective of the capabilities of EGUs with reasonable application of NOx controls when those units are operated in accordance with good emission control practices.</w:t>
      </w:r>
      <w:r w:rsidR="00D375BE" w:rsidRPr="00DE63C0">
        <w:rPr>
          <w:rFonts w:cs="Arial"/>
        </w:rPr>
        <w:t xml:space="preserve">  The proposed </w:t>
      </w:r>
      <w:r w:rsidR="002D648A" w:rsidRPr="00DE63C0">
        <w:rPr>
          <w:rFonts w:cs="Arial"/>
        </w:rPr>
        <w:t xml:space="preserve">short term </w:t>
      </w:r>
      <w:r w:rsidR="00D375BE" w:rsidRPr="00DE63C0">
        <w:rPr>
          <w:rFonts w:cs="Arial"/>
        </w:rPr>
        <w:t>NOx emission rate limits are felt to be representative of the capabilities of layered combustion controls or post-combustion con</w:t>
      </w:r>
      <w:r w:rsidR="00651AEB" w:rsidRPr="00DE63C0">
        <w:rPr>
          <w:rFonts w:cs="Arial"/>
        </w:rPr>
        <w:t>trols in retrofit installations.  In order to ensure that the emission rate reduction capabilities of various EGU configuration</w:t>
      </w:r>
      <w:r w:rsidR="002D648A" w:rsidRPr="00DE63C0">
        <w:rPr>
          <w:rFonts w:cs="Arial"/>
        </w:rPr>
        <w:t>s</w:t>
      </w:r>
      <w:r w:rsidR="00651AEB" w:rsidRPr="00DE63C0">
        <w:rPr>
          <w:rFonts w:cs="Arial"/>
        </w:rPr>
        <w:t xml:space="preserve"> and fuel selection</w:t>
      </w:r>
      <w:r w:rsidR="002D648A" w:rsidRPr="00DE63C0">
        <w:rPr>
          <w:rFonts w:cs="Arial"/>
        </w:rPr>
        <w:t>s</w:t>
      </w:r>
      <w:r w:rsidR="00651AEB" w:rsidRPr="00DE63C0">
        <w:rPr>
          <w:rFonts w:cs="Arial"/>
        </w:rPr>
        <w:t xml:space="preserve"> are addressed</w:t>
      </w:r>
      <w:r w:rsidR="00CE5D47" w:rsidRPr="00DE63C0">
        <w:rPr>
          <w:rFonts w:cs="Arial"/>
        </w:rPr>
        <w:t xml:space="preserve">, </w:t>
      </w:r>
      <w:r w:rsidR="002D648A" w:rsidRPr="00DE63C0">
        <w:rPr>
          <w:rFonts w:cs="Arial"/>
        </w:rPr>
        <w:t xml:space="preserve">the proposed </w:t>
      </w:r>
      <w:r w:rsidR="00CE5D47" w:rsidRPr="00DE63C0">
        <w:rPr>
          <w:rFonts w:cs="Arial"/>
        </w:rPr>
        <w:t>short term NOx em</w:t>
      </w:r>
      <w:r w:rsidR="002D648A" w:rsidRPr="00DE63C0">
        <w:rPr>
          <w:rFonts w:cs="Arial"/>
        </w:rPr>
        <w:t xml:space="preserve">ission rate limits </w:t>
      </w:r>
      <w:r w:rsidR="00CE5D47" w:rsidRPr="00DE63C0">
        <w:rPr>
          <w:rFonts w:cs="Arial"/>
        </w:rPr>
        <w:t>account for these EGU configuration</w:t>
      </w:r>
      <w:r w:rsidR="002D648A" w:rsidRPr="00DE63C0">
        <w:rPr>
          <w:rFonts w:cs="Arial"/>
        </w:rPr>
        <w:t>s</w:t>
      </w:r>
      <w:r w:rsidR="00CE5D47" w:rsidRPr="00DE63C0">
        <w:rPr>
          <w:rFonts w:cs="Arial"/>
        </w:rPr>
        <w:t xml:space="preserve"> and fuel differences.</w:t>
      </w:r>
    </w:p>
    <w:p w:rsidR="00CE5D47" w:rsidRPr="00512516" w:rsidRDefault="00CE5D47" w:rsidP="002D648A">
      <w:pPr>
        <w:autoSpaceDE w:val="0"/>
        <w:autoSpaceDN w:val="0"/>
        <w:adjustRightInd w:val="0"/>
        <w:rPr>
          <w:rFonts w:ascii="TimesNewRomanPSMT" w:hAnsi="TimesNewRomanPSMT" w:cs="TimesNewRomanPSMT"/>
          <w:color w:val="E85454"/>
          <w:sz w:val="19"/>
          <w:szCs w:val="19"/>
        </w:rPr>
      </w:pPr>
      <w:r>
        <w:rPr>
          <w:rFonts w:cs="Arial"/>
        </w:rPr>
        <w:t xml:space="preserve">  </w:t>
      </w:r>
    </w:p>
    <w:p w:rsidR="00731A2F" w:rsidRDefault="00660138" w:rsidP="00731A2F">
      <w:pPr>
        <w:autoSpaceDE w:val="0"/>
        <w:autoSpaceDN w:val="0"/>
        <w:adjustRightInd w:val="0"/>
        <w:rPr>
          <w:rFonts w:cs="Arial"/>
        </w:rPr>
      </w:pPr>
      <w:r>
        <w:rPr>
          <w:rFonts w:cs="Arial"/>
        </w:rPr>
        <w:t>The</w:t>
      </w:r>
      <w:r w:rsidR="00CE5D47">
        <w:rPr>
          <w:rFonts w:cs="Arial"/>
        </w:rPr>
        <w:t xml:space="preserve"> </w:t>
      </w:r>
      <w:r w:rsidR="002D648A">
        <w:rPr>
          <w:rFonts w:cs="Arial"/>
        </w:rPr>
        <w:t xml:space="preserve">proposed </w:t>
      </w:r>
      <w:r w:rsidR="00CE5D47">
        <w:rPr>
          <w:rFonts w:cs="Arial"/>
        </w:rPr>
        <w:t>short term NOx emission</w:t>
      </w:r>
      <w:r w:rsidR="00731A2F">
        <w:rPr>
          <w:rFonts w:cs="Arial"/>
        </w:rPr>
        <w:t xml:space="preserve"> rate limits, based on reported short term NOx emission rates, </w:t>
      </w:r>
      <w:r w:rsidR="00CE5D47">
        <w:rPr>
          <w:rFonts w:cs="Arial"/>
        </w:rPr>
        <w:t>include averaging periods that are felt to be necessary to support attainment and maintenance of short term air quality standards, the proposed short term NOx emission rate limits are expected to be sustainable over a long period of time given good operating and maintenance practices.</w:t>
      </w:r>
      <w:r w:rsidR="002375DF">
        <w:rPr>
          <w:rFonts w:cs="Arial"/>
        </w:rPr>
        <w:t xml:space="preserve">  </w:t>
      </w:r>
    </w:p>
    <w:p w:rsidR="00731A2F" w:rsidRDefault="00731A2F" w:rsidP="00731A2F">
      <w:pPr>
        <w:autoSpaceDE w:val="0"/>
        <w:autoSpaceDN w:val="0"/>
        <w:adjustRightInd w:val="0"/>
        <w:rPr>
          <w:rFonts w:cs="Arial"/>
        </w:rPr>
      </w:pPr>
    </w:p>
    <w:p w:rsidR="00660138" w:rsidRDefault="00415640" w:rsidP="00415640">
      <w:pPr>
        <w:rPr>
          <w:rFonts w:cs="Arial"/>
        </w:rPr>
      </w:pPr>
      <w:r>
        <w:rPr>
          <w:rFonts w:cs="Arial"/>
        </w:rPr>
        <w:t>If the proposed shor</w:t>
      </w:r>
      <w:r w:rsidR="00660138">
        <w:rPr>
          <w:rFonts w:cs="Arial"/>
        </w:rPr>
        <w:t>t term NOx emission rate limits</w:t>
      </w:r>
      <w:r>
        <w:rPr>
          <w:rFonts w:cs="Arial"/>
        </w:rPr>
        <w:t xml:space="preserve"> are adopted by regulatory bodies (state rules, regional MOUs, potential federal rule), there would not only be an expectation of general air quality improvement, but it would also be expected to be especially effective during periods of high electric demand which often correspond to air quality episodes.  The short term NOx emission rate limits would therefore be expected to help reduce the frequency and magnitude of those air quality episodes.</w:t>
      </w:r>
    </w:p>
    <w:p w:rsidR="00FC1919" w:rsidRDefault="00FC1919" w:rsidP="00660138">
      <w:pPr>
        <w:rPr>
          <w:rFonts w:cs="Arial"/>
        </w:rPr>
      </w:pPr>
    </w:p>
    <w:p w:rsidR="00415640" w:rsidRPr="00415640" w:rsidRDefault="00415640" w:rsidP="00415640">
      <w:pPr>
        <w:rPr>
          <w:rFonts w:cs="Arial"/>
        </w:rPr>
      </w:pPr>
      <w:r>
        <w:rPr>
          <w:rFonts w:cs="Arial"/>
        </w:rPr>
        <w:br w:type="page"/>
      </w:r>
      <w:r>
        <w:rPr>
          <w:rFonts w:cs="Arial"/>
        </w:rPr>
        <w:lastRenderedPageBreak/>
        <w:t>The proposed short term NOx emission rate limits are included in the following table:</w:t>
      </w:r>
    </w:p>
    <w:p w:rsidR="00415640" w:rsidRDefault="00415640" w:rsidP="00415640">
      <w:pPr>
        <w:autoSpaceDE w:val="0"/>
        <w:autoSpaceDN w:val="0"/>
        <w:adjustRightInd w:val="0"/>
        <w:rPr>
          <w:rFonts w:cs="Arial"/>
        </w:rPr>
      </w:pP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4"/>
        <w:gridCol w:w="1620"/>
        <w:gridCol w:w="1953"/>
        <w:gridCol w:w="2160"/>
        <w:gridCol w:w="1440"/>
      </w:tblGrid>
      <w:tr w:rsidR="00415640" w:rsidRPr="002253E5">
        <w:trPr>
          <w:jc w:val="center"/>
        </w:trPr>
        <w:tc>
          <w:tcPr>
            <w:tcW w:w="3474" w:type="dxa"/>
            <w:vAlign w:val="bottom"/>
          </w:tcPr>
          <w:p w:rsidR="00415640" w:rsidRPr="002253E5" w:rsidRDefault="00415640" w:rsidP="00561C6C">
            <w:pPr>
              <w:autoSpaceDE w:val="0"/>
              <w:autoSpaceDN w:val="0"/>
              <w:adjustRightInd w:val="0"/>
              <w:rPr>
                <w:rFonts w:cs="Arial"/>
                <w:b/>
              </w:rPr>
            </w:pPr>
            <w:r w:rsidRPr="002253E5">
              <w:rPr>
                <w:rFonts w:cs="Arial"/>
                <w:b/>
              </w:rPr>
              <w:t>Unit Type</w:t>
            </w:r>
          </w:p>
        </w:tc>
        <w:tc>
          <w:tcPr>
            <w:tcW w:w="1620" w:type="dxa"/>
            <w:vAlign w:val="bottom"/>
          </w:tcPr>
          <w:p w:rsidR="00415640" w:rsidRPr="002253E5" w:rsidRDefault="00415640" w:rsidP="00561C6C">
            <w:pPr>
              <w:autoSpaceDE w:val="0"/>
              <w:autoSpaceDN w:val="0"/>
              <w:adjustRightInd w:val="0"/>
              <w:rPr>
                <w:rFonts w:cs="Arial"/>
                <w:b/>
              </w:rPr>
            </w:pPr>
            <w:r w:rsidRPr="002253E5">
              <w:rPr>
                <w:rFonts w:cs="Arial"/>
                <w:b/>
              </w:rPr>
              <w:t xml:space="preserve">  Heat Input</w:t>
            </w:r>
          </w:p>
          <w:p w:rsidR="00415640" w:rsidRPr="002253E5" w:rsidRDefault="00415640" w:rsidP="00561C6C">
            <w:pPr>
              <w:autoSpaceDE w:val="0"/>
              <w:autoSpaceDN w:val="0"/>
              <w:adjustRightInd w:val="0"/>
              <w:rPr>
                <w:rFonts w:cs="Arial"/>
                <w:b/>
              </w:rPr>
            </w:pPr>
            <w:r w:rsidRPr="002253E5">
              <w:rPr>
                <w:rFonts w:cs="Arial"/>
                <w:b/>
              </w:rPr>
              <w:t xml:space="preserve">    Capacity</w:t>
            </w:r>
          </w:p>
          <w:p w:rsidR="00415640" w:rsidRPr="002253E5" w:rsidRDefault="00415640" w:rsidP="00561C6C">
            <w:pPr>
              <w:autoSpaceDE w:val="0"/>
              <w:autoSpaceDN w:val="0"/>
              <w:adjustRightInd w:val="0"/>
              <w:rPr>
                <w:rFonts w:cs="Arial"/>
                <w:b/>
              </w:rPr>
            </w:pPr>
            <w:r w:rsidRPr="002253E5">
              <w:rPr>
                <w:rFonts w:cs="Arial"/>
                <w:b/>
              </w:rPr>
              <w:t xml:space="preserve"> (MMBtu/hr)</w:t>
            </w:r>
          </w:p>
        </w:tc>
        <w:tc>
          <w:tcPr>
            <w:tcW w:w="1953" w:type="dxa"/>
            <w:vAlign w:val="bottom"/>
          </w:tcPr>
          <w:p w:rsidR="00415640" w:rsidRPr="002253E5" w:rsidRDefault="00415640" w:rsidP="00561C6C">
            <w:pPr>
              <w:autoSpaceDE w:val="0"/>
              <w:autoSpaceDN w:val="0"/>
              <w:adjustRightInd w:val="0"/>
              <w:rPr>
                <w:rFonts w:cs="Arial"/>
                <w:b/>
              </w:rPr>
            </w:pPr>
            <w:r w:rsidRPr="002253E5">
              <w:rPr>
                <w:rFonts w:cs="Arial"/>
                <w:b/>
              </w:rPr>
              <w:t xml:space="preserve"> Configuration</w:t>
            </w:r>
          </w:p>
        </w:tc>
        <w:tc>
          <w:tcPr>
            <w:tcW w:w="2160" w:type="dxa"/>
            <w:vAlign w:val="bottom"/>
          </w:tcPr>
          <w:p w:rsidR="00415640" w:rsidRPr="002253E5" w:rsidRDefault="00415640" w:rsidP="00561C6C">
            <w:pPr>
              <w:autoSpaceDE w:val="0"/>
              <w:autoSpaceDN w:val="0"/>
              <w:adjustRightInd w:val="0"/>
              <w:rPr>
                <w:rFonts w:cs="Arial"/>
                <w:b/>
              </w:rPr>
            </w:pPr>
            <w:r w:rsidRPr="002253E5">
              <w:rPr>
                <w:rFonts w:cs="Arial"/>
                <w:b/>
              </w:rPr>
              <w:t xml:space="preserve">   </w:t>
            </w:r>
            <w:r>
              <w:rPr>
                <w:rFonts w:cs="Arial"/>
                <w:b/>
              </w:rPr>
              <w:t xml:space="preserve">  </w:t>
            </w:r>
            <w:r w:rsidRPr="002253E5">
              <w:rPr>
                <w:rFonts w:cs="Arial"/>
                <w:b/>
              </w:rPr>
              <w:t>NOx Limit</w:t>
            </w:r>
          </w:p>
          <w:p w:rsidR="00415640" w:rsidRPr="002253E5" w:rsidRDefault="00415640" w:rsidP="00561C6C">
            <w:pPr>
              <w:autoSpaceDE w:val="0"/>
              <w:autoSpaceDN w:val="0"/>
              <w:adjustRightInd w:val="0"/>
              <w:rPr>
                <w:rFonts w:cs="Arial"/>
                <w:b/>
              </w:rPr>
            </w:pPr>
            <w:r w:rsidRPr="002253E5">
              <w:rPr>
                <w:rFonts w:cs="Arial"/>
                <w:b/>
              </w:rPr>
              <w:t xml:space="preserve">  </w:t>
            </w:r>
            <w:r>
              <w:rPr>
                <w:rFonts w:cs="Arial"/>
                <w:b/>
              </w:rPr>
              <w:t xml:space="preserve">  </w:t>
            </w:r>
            <w:r w:rsidRPr="002253E5">
              <w:rPr>
                <w:rFonts w:cs="Arial"/>
                <w:b/>
              </w:rPr>
              <w:t>(lb/MMBtu)</w:t>
            </w:r>
          </w:p>
        </w:tc>
        <w:tc>
          <w:tcPr>
            <w:tcW w:w="1440" w:type="dxa"/>
            <w:vAlign w:val="bottom"/>
          </w:tcPr>
          <w:p w:rsidR="00415640" w:rsidRPr="002253E5" w:rsidRDefault="00415640" w:rsidP="00561C6C">
            <w:pPr>
              <w:autoSpaceDE w:val="0"/>
              <w:autoSpaceDN w:val="0"/>
              <w:adjustRightInd w:val="0"/>
              <w:rPr>
                <w:rFonts w:cs="Arial"/>
                <w:b/>
              </w:rPr>
            </w:pPr>
            <w:r w:rsidRPr="002253E5">
              <w:rPr>
                <w:rFonts w:cs="Arial"/>
                <w:b/>
              </w:rPr>
              <w:t xml:space="preserve">  Averaging</w:t>
            </w:r>
          </w:p>
          <w:p w:rsidR="00415640" w:rsidRPr="002253E5" w:rsidRDefault="00415640" w:rsidP="00561C6C">
            <w:pPr>
              <w:autoSpaceDE w:val="0"/>
              <w:autoSpaceDN w:val="0"/>
              <w:adjustRightInd w:val="0"/>
              <w:rPr>
                <w:rFonts w:cs="Arial"/>
                <w:b/>
              </w:rPr>
            </w:pPr>
            <w:r w:rsidRPr="002253E5">
              <w:rPr>
                <w:rFonts w:cs="Arial"/>
                <w:b/>
              </w:rPr>
              <w:t xml:space="preserve">     Period</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r w:rsidRPr="002253E5">
              <w:rPr>
                <w:rFonts w:cs="Arial"/>
              </w:rPr>
              <w:t>Boiler - Solid Fuel</w:t>
            </w:r>
          </w:p>
        </w:tc>
        <w:tc>
          <w:tcPr>
            <w:tcW w:w="1620" w:type="dxa"/>
          </w:tcPr>
          <w:p w:rsidR="00415640" w:rsidRPr="002253E5" w:rsidRDefault="00415640" w:rsidP="00561C6C">
            <w:pPr>
              <w:autoSpaceDE w:val="0"/>
              <w:autoSpaceDN w:val="0"/>
              <w:adjustRightInd w:val="0"/>
              <w:rPr>
                <w:rFonts w:cs="Arial"/>
              </w:rPr>
            </w:pPr>
            <w:r w:rsidRPr="002253E5">
              <w:rPr>
                <w:rFonts w:cs="Arial"/>
              </w:rPr>
              <w:t xml:space="preserve">    HI </w:t>
            </w:r>
            <w:r>
              <w:t>≥</w:t>
            </w:r>
            <w:r w:rsidRPr="002253E5">
              <w:rPr>
                <w:rFonts w:cs="Arial"/>
              </w:rPr>
              <w:t xml:space="preserve"> 1000</w:t>
            </w:r>
          </w:p>
        </w:tc>
        <w:tc>
          <w:tcPr>
            <w:tcW w:w="1953" w:type="dxa"/>
            <w:vAlign w:val="center"/>
          </w:tcPr>
          <w:p w:rsidR="00415640" w:rsidRPr="002253E5" w:rsidRDefault="00415640" w:rsidP="00561C6C">
            <w:pPr>
              <w:autoSpaceDE w:val="0"/>
              <w:autoSpaceDN w:val="0"/>
              <w:adjustRightInd w:val="0"/>
              <w:rPr>
                <w:rFonts w:cs="Arial"/>
              </w:rPr>
            </w:pPr>
            <w:r w:rsidRPr="002253E5">
              <w:rPr>
                <w:rFonts w:cs="Arial"/>
              </w:rPr>
              <w:t xml:space="preserve">         Arch</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0.125</w:t>
            </w:r>
          </w:p>
        </w:tc>
        <w:tc>
          <w:tcPr>
            <w:tcW w:w="1440" w:type="dxa"/>
          </w:tcPr>
          <w:p w:rsidR="00415640" w:rsidRPr="002253E5" w:rsidRDefault="00415640" w:rsidP="00561C6C">
            <w:pPr>
              <w:autoSpaceDE w:val="0"/>
              <w:autoSpaceDN w:val="0"/>
              <w:adjustRightInd w:val="0"/>
              <w:jc w:val="center"/>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Cell</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CFB</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Cyclone</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00D73A54">
              <w:rPr>
                <w:rFonts w:cs="Arial"/>
              </w:rPr>
              <w:t xml:space="preserve">  0.150*</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Stoker</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Tangential</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Borders>
              <w:bottom w:val="single" w:sz="4" w:space="0" w:color="auto"/>
            </w:tcBorders>
          </w:tcPr>
          <w:p w:rsidR="00415640" w:rsidRPr="002253E5" w:rsidRDefault="00415640" w:rsidP="00561C6C">
            <w:pPr>
              <w:autoSpaceDE w:val="0"/>
              <w:autoSpaceDN w:val="0"/>
              <w:adjustRightInd w:val="0"/>
              <w:rPr>
                <w:rFonts w:cs="Arial"/>
              </w:rPr>
            </w:pPr>
          </w:p>
        </w:tc>
        <w:tc>
          <w:tcPr>
            <w:tcW w:w="1620" w:type="dxa"/>
            <w:tcBorders>
              <w:bottom w:val="single" w:sz="4" w:space="0" w:color="auto"/>
            </w:tcBorders>
          </w:tcPr>
          <w:p w:rsidR="00415640" w:rsidRPr="002253E5" w:rsidRDefault="00415640" w:rsidP="00561C6C">
            <w:pPr>
              <w:autoSpaceDE w:val="0"/>
              <w:autoSpaceDN w:val="0"/>
              <w:adjustRightInd w:val="0"/>
              <w:rPr>
                <w:rFonts w:cs="Arial"/>
              </w:rPr>
            </w:pPr>
          </w:p>
        </w:tc>
        <w:tc>
          <w:tcPr>
            <w:tcW w:w="1953"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Wall</w:t>
            </w:r>
          </w:p>
        </w:tc>
        <w:tc>
          <w:tcPr>
            <w:tcW w:w="216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shd w:val="clear" w:color="auto" w:fill="CCFFCC"/>
          </w:tcPr>
          <w:p w:rsidR="00415640" w:rsidRPr="002253E5" w:rsidRDefault="00415640" w:rsidP="00561C6C">
            <w:pPr>
              <w:autoSpaceDE w:val="0"/>
              <w:autoSpaceDN w:val="0"/>
              <w:adjustRightInd w:val="0"/>
              <w:rPr>
                <w:rFonts w:cs="Arial"/>
              </w:rPr>
            </w:pPr>
          </w:p>
        </w:tc>
        <w:tc>
          <w:tcPr>
            <w:tcW w:w="1620" w:type="dxa"/>
            <w:shd w:val="clear" w:color="auto" w:fill="CCFFCC"/>
          </w:tcPr>
          <w:p w:rsidR="00415640" w:rsidRPr="002253E5" w:rsidRDefault="00415640" w:rsidP="00561C6C">
            <w:pPr>
              <w:autoSpaceDE w:val="0"/>
              <w:autoSpaceDN w:val="0"/>
              <w:adjustRightInd w:val="0"/>
              <w:rPr>
                <w:rFonts w:cs="Arial"/>
              </w:rPr>
            </w:pPr>
          </w:p>
        </w:tc>
        <w:tc>
          <w:tcPr>
            <w:tcW w:w="1953" w:type="dxa"/>
            <w:shd w:val="clear" w:color="auto" w:fill="CCFFCC"/>
          </w:tcPr>
          <w:p w:rsidR="00415640" w:rsidRPr="002253E5" w:rsidRDefault="00415640" w:rsidP="00561C6C">
            <w:pPr>
              <w:autoSpaceDE w:val="0"/>
              <w:autoSpaceDN w:val="0"/>
              <w:adjustRightInd w:val="0"/>
              <w:rPr>
                <w:rFonts w:cs="Arial"/>
              </w:rPr>
            </w:pPr>
          </w:p>
        </w:tc>
        <w:tc>
          <w:tcPr>
            <w:tcW w:w="2160" w:type="dxa"/>
            <w:shd w:val="clear" w:color="auto" w:fill="CCFFCC"/>
          </w:tcPr>
          <w:p w:rsidR="00415640" w:rsidRPr="002253E5" w:rsidRDefault="00415640" w:rsidP="00561C6C">
            <w:pPr>
              <w:autoSpaceDE w:val="0"/>
              <w:autoSpaceDN w:val="0"/>
              <w:adjustRightInd w:val="0"/>
              <w:rPr>
                <w:rFonts w:cs="Arial"/>
              </w:rPr>
            </w:pPr>
          </w:p>
        </w:tc>
        <w:tc>
          <w:tcPr>
            <w:tcW w:w="1440" w:type="dxa"/>
            <w:shd w:val="clear" w:color="auto" w:fill="CCFFCC"/>
          </w:tcPr>
          <w:p w:rsidR="00415640" w:rsidRPr="002253E5" w:rsidRDefault="00415640" w:rsidP="00561C6C">
            <w:pPr>
              <w:autoSpaceDE w:val="0"/>
              <w:autoSpaceDN w:val="0"/>
              <w:adjustRightInd w:val="0"/>
              <w:rPr>
                <w:rFonts w:cs="Arial"/>
              </w:rPr>
            </w:pP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r w:rsidRPr="002253E5">
              <w:rPr>
                <w:rFonts w:cs="Arial"/>
              </w:rPr>
              <w:t>Boiler - Solid Fuel</w:t>
            </w:r>
          </w:p>
        </w:tc>
        <w:tc>
          <w:tcPr>
            <w:tcW w:w="1620" w:type="dxa"/>
          </w:tcPr>
          <w:p w:rsidR="00415640" w:rsidRPr="002253E5" w:rsidRDefault="00415640" w:rsidP="00561C6C">
            <w:pPr>
              <w:autoSpaceDE w:val="0"/>
              <w:autoSpaceDN w:val="0"/>
              <w:adjustRightInd w:val="0"/>
              <w:rPr>
                <w:rFonts w:cs="Arial"/>
              </w:rPr>
            </w:pPr>
            <w:r w:rsidRPr="002253E5">
              <w:rPr>
                <w:rFonts w:cs="Arial"/>
              </w:rPr>
              <w:t xml:space="preserve">    HI </w:t>
            </w:r>
            <w:r>
              <w:t>&lt;</w:t>
            </w:r>
            <w:r w:rsidRPr="002253E5">
              <w:rPr>
                <w:rFonts w:cs="Arial"/>
              </w:rPr>
              <w:t xml:space="preserve"> 1000</w:t>
            </w:r>
          </w:p>
        </w:tc>
        <w:tc>
          <w:tcPr>
            <w:tcW w:w="1953" w:type="dxa"/>
            <w:vAlign w:val="center"/>
          </w:tcPr>
          <w:p w:rsidR="00415640" w:rsidRPr="002253E5" w:rsidRDefault="00415640" w:rsidP="00561C6C">
            <w:pPr>
              <w:autoSpaceDE w:val="0"/>
              <w:autoSpaceDN w:val="0"/>
              <w:adjustRightInd w:val="0"/>
              <w:rPr>
                <w:rFonts w:cs="Arial"/>
              </w:rPr>
            </w:pPr>
            <w:r w:rsidRPr="002253E5">
              <w:rPr>
                <w:rFonts w:cs="Arial"/>
              </w:rPr>
              <w:t xml:space="preserve">         Arch</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Cell</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CFB</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0.125</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Cyclone</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00D73A54">
              <w:rPr>
                <w:rFonts w:cs="Arial"/>
              </w:rPr>
              <w:t xml:space="preserve"> 0.150</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Stoker</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Pr>
          <w:p w:rsidR="00415640" w:rsidRPr="002253E5" w:rsidRDefault="00415640" w:rsidP="00561C6C">
            <w:pPr>
              <w:autoSpaceDE w:val="0"/>
              <w:autoSpaceDN w:val="0"/>
              <w:adjustRightInd w:val="0"/>
              <w:rPr>
                <w:rFonts w:cs="Arial"/>
              </w:rPr>
            </w:pPr>
          </w:p>
        </w:tc>
        <w:tc>
          <w:tcPr>
            <w:tcW w:w="1620" w:type="dxa"/>
          </w:tcPr>
          <w:p w:rsidR="00415640" w:rsidRPr="002253E5" w:rsidRDefault="00415640" w:rsidP="00561C6C">
            <w:pPr>
              <w:autoSpaceDE w:val="0"/>
              <w:autoSpaceDN w:val="0"/>
              <w:adjustRightInd w:val="0"/>
              <w:rPr>
                <w:rFonts w:cs="Arial"/>
              </w:rPr>
            </w:pPr>
          </w:p>
        </w:tc>
        <w:tc>
          <w:tcPr>
            <w:tcW w:w="1953" w:type="dxa"/>
          </w:tcPr>
          <w:p w:rsidR="00415640" w:rsidRPr="002253E5" w:rsidRDefault="00415640" w:rsidP="00561C6C">
            <w:pPr>
              <w:autoSpaceDE w:val="0"/>
              <w:autoSpaceDN w:val="0"/>
              <w:adjustRightInd w:val="0"/>
              <w:rPr>
                <w:rFonts w:cs="Arial"/>
              </w:rPr>
            </w:pPr>
            <w:r w:rsidRPr="002253E5">
              <w:rPr>
                <w:rFonts w:cs="Arial"/>
              </w:rPr>
              <w:t xml:space="preserve">    Tangential</w:t>
            </w:r>
          </w:p>
        </w:tc>
        <w:tc>
          <w:tcPr>
            <w:tcW w:w="2160" w:type="dxa"/>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tcBorders>
              <w:bottom w:val="single" w:sz="4" w:space="0" w:color="auto"/>
            </w:tcBorders>
          </w:tcPr>
          <w:p w:rsidR="00415640" w:rsidRPr="002253E5" w:rsidRDefault="00415640" w:rsidP="00561C6C">
            <w:pPr>
              <w:autoSpaceDE w:val="0"/>
              <w:autoSpaceDN w:val="0"/>
              <w:adjustRightInd w:val="0"/>
              <w:rPr>
                <w:rFonts w:cs="Arial"/>
              </w:rPr>
            </w:pPr>
          </w:p>
        </w:tc>
        <w:tc>
          <w:tcPr>
            <w:tcW w:w="1620" w:type="dxa"/>
            <w:tcBorders>
              <w:bottom w:val="single" w:sz="4" w:space="0" w:color="auto"/>
            </w:tcBorders>
          </w:tcPr>
          <w:p w:rsidR="00415640" w:rsidRPr="002253E5" w:rsidRDefault="00415640" w:rsidP="00561C6C">
            <w:pPr>
              <w:autoSpaceDE w:val="0"/>
              <w:autoSpaceDN w:val="0"/>
              <w:adjustRightInd w:val="0"/>
              <w:rPr>
                <w:rFonts w:cs="Arial"/>
              </w:rPr>
            </w:pPr>
          </w:p>
        </w:tc>
        <w:tc>
          <w:tcPr>
            <w:tcW w:w="1953"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Wall</w:t>
            </w:r>
          </w:p>
        </w:tc>
        <w:tc>
          <w:tcPr>
            <w:tcW w:w="216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shd w:val="clear" w:color="auto" w:fill="CCFFCC"/>
          </w:tcPr>
          <w:p w:rsidR="00415640" w:rsidRPr="002253E5" w:rsidRDefault="00415640" w:rsidP="00561C6C">
            <w:pPr>
              <w:autoSpaceDE w:val="0"/>
              <w:autoSpaceDN w:val="0"/>
              <w:adjustRightInd w:val="0"/>
              <w:rPr>
                <w:rFonts w:cs="Arial"/>
              </w:rPr>
            </w:pPr>
          </w:p>
        </w:tc>
        <w:tc>
          <w:tcPr>
            <w:tcW w:w="1620" w:type="dxa"/>
            <w:shd w:val="clear" w:color="auto" w:fill="CCFFCC"/>
          </w:tcPr>
          <w:p w:rsidR="00415640" w:rsidRPr="002253E5" w:rsidRDefault="00415640" w:rsidP="00561C6C">
            <w:pPr>
              <w:autoSpaceDE w:val="0"/>
              <w:autoSpaceDN w:val="0"/>
              <w:adjustRightInd w:val="0"/>
              <w:rPr>
                <w:rFonts w:cs="Arial"/>
              </w:rPr>
            </w:pPr>
          </w:p>
        </w:tc>
        <w:tc>
          <w:tcPr>
            <w:tcW w:w="1953" w:type="dxa"/>
            <w:shd w:val="clear" w:color="auto" w:fill="CCFFCC"/>
          </w:tcPr>
          <w:p w:rsidR="00415640" w:rsidRPr="002253E5" w:rsidRDefault="00415640" w:rsidP="00561C6C">
            <w:pPr>
              <w:autoSpaceDE w:val="0"/>
              <w:autoSpaceDN w:val="0"/>
              <w:adjustRightInd w:val="0"/>
              <w:rPr>
                <w:rFonts w:cs="Arial"/>
              </w:rPr>
            </w:pPr>
          </w:p>
        </w:tc>
        <w:tc>
          <w:tcPr>
            <w:tcW w:w="2160" w:type="dxa"/>
            <w:shd w:val="clear" w:color="auto" w:fill="CCFFCC"/>
          </w:tcPr>
          <w:p w:rsidR="00415640" w:rsidRPr="002253E5" w:rsidRDefault="00415640" w:rsidP="00561C6C">
            <w:pPr>
              <w:autoSpaceDE w:val="0"/>
              <w:autoSpaceDN w:val="0"/>
              <w:adjustRightInd w:val="0"/>
              <w:rPr>
                <w:rFonts w:cs="Arial"/>
              </w:rPr>
            </w:pPr>
          </w:p>
        </w:tc>
        <w:tc>
          <w:tcPr>
            <w:tcW w:w="1440" w:type="dxa"/>
            <w:shd w:val="clear" w:color="auto" w:fill="CCFFCC"/>
          </w:tcPr>
          <w:p w:rsidR="00415640" w:rsidRPr="002253E5" w:rsidRDefault="00415640" w:rsidP="00561C6C">
            <w:pPr>
              <w:autoSpaceDE w:val="0"/>
              <w:autoSpaceDN w:val="0"/>
              <w:adjustRightInd w:val="0"/>
              <w:rPr>
                <w:rFonts w:cs="Arial"/>
              </w:rPr>
            </w:pPr>
          </w:p>
        </w:tc>
      </w:tr>
      <w:tr w:rsidR="00415640" w:rsidRPr="002253E5">
        <w:trPr>
          <w:jc w:val="center"/>
        </w:trPr>
        <w:tc>
          <w:tcPr>
            <w:tcW w:w="3474"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Boiler - Gas Fuel</w:t>
            </w:r>
          </w:p>
        </w:tc>
        <w:tc>
          <w:tcPr>
            <w:tcW w:w="162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All</w:t>
            </w:r>
          </w:p>
        </w:tc>
        <w:tc>
          <w:tcPr>
            <w:tcW w:w="1953"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All</w:t>
            </w:r>
          </w:p>
        </w:tc>
        <w:tc>
          <w:tcPr>
            <w:tcW w:w="216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shd w:val="clear" w:color="auto" w:fill="CCFFCC"/>
          </w:tcPr>
          <w:p w:rsidR="00415640" w:rsidRPr="002253E5" w:rsidRDefault="00415640" w:rsidP="00561C6C">
            <w:pPr>
              <w:autoSpaceDE w:val="0"/>
              <w:autoSpaceDN w:val="0"/>
              <w:adjustRightInd w:val="0"/>
              <w:rPr>
                <w:rFonts w:cs="Arial"/>
              </w:rPr>
            </w:pPr>
          </w:p>
        </w:tc>
        <w:tc>
          <w:tcPr>
            <w:tcW w:w="1620" w:type="dxa"/>
            <w:shd w:val="clear" w:color="auto" w:fill="CCFFCC"/>
          </w:tcPr>
          <w:p w:rsidR="00415640" w:rsidRPr="002253E5" w:rsidRDefault="00415640" w:rsidP="00561C6C">
            <w:pPr>
              <w:autoSpaceDE w:val="0"/>
              <w:autoSpaceDN w:val="0"/>
              <w:adjustRightInd w:val="0"/>
              <w:rPr>
                <w:rFonts w:cs="Arial"/>
              </w:rPr>
            </w:pPr>
          </w:p>
        </w:tc>
        <w:tc>
          <w:tcPr>
            <w:tcW w:w="1953" w:type="dxa"/>
            <w:shd w:val="clear" w:color="auto" w:fill="CCFFCC"/>
          </w:tcPr>
          <w:p w:rsidR="00415640" w:rsidRPr="002253E5" w:rsidRDefault="00415640" w:rsidP="00561C6C">
            <w:pPr>
              <w:autoSpaceDE w:val="0"/>
              <w:autoSpaceDN w:val="0"/>
              <w:adjustRightInd w:val="0"/>
              <w:rPr>
                <w:rFonts w:cs="Arial"/>
              </w:rPr>
            </w:pPr>
          </w:p>
        </w:tc>
        <w:tc>
          <w:tcPr>
            <w:tcW w:w="2160" w:type="dxa"/>
            <w:shd w:val="clear" w:color="auto" w:fill="CCFFCC"/>
          </w:tcPr>
          <w:p w:rsidR="00415640" w:rsidRPr="002253E5" w:rsidRDefault="00415640" w:rsidP="00561C6C">
            <w:pPr>
              <w:autoSpaceDE w:val="0"/>
              <w:autoSpaceDN w:val="0"/>
              <w:adjustRightInd w:val="0"/>
              <w:rPr>
                <w:rFonts w:cs="Arial"/>
              </w:rPr>
            </w:pPr>
          </w:p>
        </w:tc>
        <w:tc>
          <w:tcPr>
            <w:tcW w:w="1440" w:type="dxa"/>
            <w:shd w:val="clear" w:color="auto" w:fill="CCFFCC"/>
          </w:tcPr>
          <w:p w:rsidR="00415640" w:rsidRPr="002253E5" w:rsidRDefault="00415640" w:rsidP="00561C6C">
            <w:pPr>
              <w:autoSpaceDE w:val="0"/>
              <w:autoSpaceDN w:val="0"/>
              <w:adjustRightInd w:val="0"/>
              <w:rPr>
                <w:rFonts w:cs="Arial"/>
              </w:rPr>
            </w:pPr>
          </w:p>
        </w:tc>
      </w:tr>
      <w:tr w:rsidR="00415640" w:rsidRPr="002253E5">
        <w:trPr>
          <w:jc w:val="center"/>
        </w:trPr>
        <w:tc>
          <w:tcPr>
            <w:tcW w:w="3474"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Boiler - Distillate Oil Fuel</w:t>
            </w:r>
          </w:p>
        </w:tc>
        <w:tc>
          <w:tcPr>
            <w:tcW w:w="162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All</w:t>
            </w:r>
          </w:p>
        </w:tc>
        <w:tc>
          <w:tcPr>
            <w:tcW w:w="1953"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All</w:t>
            </w:r>
          </w:p>
        </w:tc>
        <w:tc>
          <w:tcPr>
            <w:tcW w:w="216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0.125</w:t>
            </w:r>
          </w:p>
        </w:tc>
        <w:tc>
          <w:tcPr>
            <w:tcW w:w="144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shd w:val="clear" w:color="auto" w:fill="CCFFCC"/>
          </w:tcPr>
          <w:p w:rsidR="00415640" w:rsidRPr="002253E5" w:rsidRDefault="00415640" w:rsidP="00561C6C">
            <w:pPr>
              <w:autoSpaceDE w:val="0"/>
              <w:autoSpaceDN w:val="0"/>
              <w:adjustRightInd w:val="0"/>
              <w:rPr>
                <w:rFonts w:cs="Arial"/>
              </w:rPr>
            </w:pPr>
          </w:p>
        </w:tc>
        <w:tc>
          <w:tcPr>
            <w:tcW w:w="1620" w:type="dxa"/>
            <w:shd w:val="clear" w:color="auto" w:fill="CCFFCC"/>
          </w:tcPr>
          <w:p w:rsidR="00415640" w:rsidRPr="002253E5" w:rsidRDefault="00415640" w:rsidP="00561C6C">
            <w:pPr>
              <w:autoSpaceDE w:val="0"/>
              <w:autoSpaceDN w:val="0"/>
              <w:adjustRightInd w:val="0"/>
              <w:rPr>
                <w:rFonts w:cs="Arial"/>
              </w:rPr>
            </w:pPr>
          </w:p>
        </w:tc>
        <w:tc>
          <w:tcPr>
            <w:tcW w:w="1953" w:type="dxa"/>
            <w:shd w:val="clear" w:color="auto" w:fill="CCFFCC"/>
          </w:tcPr>
          <w:p w:rsidR="00415640" w:rsidRPr="002253E5" w:rsidRDefault="00415640" w:rsidP="00561C6C">
            <w:pPr>
              <w:autoSpaceDE w:val="0"/>
              <w:autoSpaceDN w:val="0"/>
              <w:adjustRightInd w:val="0"/>
              <w:rPr>
                <w:rFonts w:cs="Arial"/>
              </w:rPr>
            </w:pPr>
          </w:p>
        </w:tc>
        <w:tc>
          <w:tcPr>
            <w:tcW w:w="2160" w:type="dxa"/>
            <w:shd w:val="clear" w:color="auto" w:fill="CCFFCC"/>
          </w:tcPr>
          <w:p w:rsidR="00415640" w:rsidRPr="002253E5" w:rsidRDefault="00415640" w:rsidP="00561C6C">
            <w:pPr>
              <w:autoSpaceDE w:val="0"/>
              <w:autoSpaceDN w:val="0"/>
              <w:adjustRightInd w:val="0"/>
              <w:rPr>
                <w:rFonts w:cs="Arial"/>
              </w:rPr>
            </w:pPr>
          </w:p>
        </w:tc>
        <w:tc>
          <w:tcPr>
            <w:tcW w:w="1440" w:type="dxa"/>
            <w:shd w:val="clear" w:color="auto" w:fill="CCFFCC"/>
          </w:tcPr>
          <w:p w:rsidR="00415640" w:rsidRPr="002253E5" w:rsidRDefault="00415640" w:rsidP="00561C6C">
            <w:pPr>
              <w:autoSpaceDE w:val="0"/>
              <w:autoSpaceDN w:val="0"/>
              <w:adjustRightInd w:val="0"/>
              <w:rPr>
                <w:rFonts w:cs="Arial"/>
              </w:rPr>
            </w:pPr>
          </w:p>
        </w:tc>
      </w:tr>
      <w:tr w:rsidR="00415640" w:rsidRPr="002253E5">
        <w:trPr>
          <w:jc w:val="center"/>
        </w:trPr>
        <w:tc>
          <w:tcPr>
            <w:tcW w:w="3474"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Boiler - Residual Oil Fuel</w:t>
            </w:r>
          </w:p>
        </w:tc>
        <w:tc>
          <w:tcPr>
            <w:tcW w:w="162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All</w:t>
            </w:r>
          </w:p>
        </w:tc>
        <w:tc>
          <w:tcPr>
            <w:tcW w:w="1953"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All</w:t>
            </w:r>
          </w:p>
        </w:tc>
        <w:tc>
          <w:tcPr>
            <w:tcW w:w="216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w:t>
            </w:r>
            <w:r>
              <w:rPr>
                <w:rFonts w:cs="Arial"/>
              </w:rPr>
              <w:t xml:space="preserve"> </w:t>
            </w:r>
            <w:r w:rsidRPr="002253E5">
              <w:rPr>
                <w:rFonts w:cs="Arial"/>
              </w:rPr>
              <w:t xml:space="preserve">  0.150</w:t>
            </w:r>
          </w:p>
        </w:tc>
        <w:tc>
          <w:tcPr>
            <w:tcW w:w="1440" w:type="dxa"/>
            <w:tcBorders>
              <w:bottom w:val="single" w:sz="4" w:space="0" w:color="auto"/>
            </w:tcBorders>
          </w:tcPr>
          <w:p w:rsidR="00415640" w:rsidRPr="002253E5" w:rsidRDefault="00415640" w:rsidP="00561C6C">
            <w:pPr>
              <w:autoSpaceDE w:val="0"/>
              <w:autoSpaceDN w:val="0"/>
              <w:adjustRightInd w:val="0"/>
              <w:rPr>
                <w:rFonts w:cs="Arial"/>
              </w:rPr>
            </w:pPr>
            <w:r w:rsidRPr="002253E5">
              <w:rPr>
                <w:rFonts w:cs="Arial"/>
              </w:rPr>
              <w:t xml:space="preserve">    24-hours</w:t>
            </w:r>
          </w:p>
        </w:tc>
      </w:tr>
      <w:tr w:rsidR="00415640" w:rsidRPr="002253E5">
        <w:trPr>
          <w:jc w:val="center"/>
        </w:trPr>
        <w:tc>
          <w:tcPr>
            <w:tcW w:w="3474" w:type="dxa"/>
            <w:shd w:val="clear" w:color="auto" w:fill="CCFFCC"/>
          </w:tcPr>
          <w:p w:rsidR="00415640" w:rsidRPr="002253E5" w:rsidRDefault="00415640" w:rsidP="00561C6C">
            <w:pPr>
              <w:autoSpaceDE w:val="0"/>
              <w:autoSpaceDN w:val="0"/>
              <w:adjustRightInd w:val="0"/>
              <w:rPr>
                <w:rFonts w:cs="Arial"/>
              </w:rPr>
            </w:pPr>
          </w:p>
        </w:tc>
        <w:tc>
          <w:tcPr>
            <w:tcW w:w="1620" w:type="dxa"/>
            <w:shd w:val="clear" w:color="auto" w:fill="CCFFCC"/>
          </w:tcPr>
          <w:p w:rsidR="00415640" w:rsidRPr="002253E5" w:rsidRDefault="00415640" w:rsidP="00561C6C">
            <w:pPr>
              <w:autoSpaceDE w:val="0"/>
              <w:autoSpaceDN w:val="0"/>
              <w:adjustRightInd w:val="0"/>
              <w:rPr>
                <w:rFonts w:cs="Arial"/>
              </w:rPr>
            </w:pPr>
          </w:p>
        </w:tc>
        <w:tc>
          <w:tcPr>
            <w:tcW w:w="1953" w:type="dxa"/>
            <w:shd w:val="clear" w:color="auto" w:fill="CCFFCC"/>
          </w:tcPr>
          <w:p w:rsidR="00415640" w:rsidRPr="002253E5" w:rsidRDefault="00415640" w:rsidP="00561C6C">
            <w:pPr>
              <w:autoSpaceDE w:val="0"/>
              <w:autoSpaceDN w:val="0"/>
              <w:adjustRightInd w:val="0"/>
              <w:rPr>
                <w:rFonts w:cs="Arial"/>
              </w:rPr>
            </w:pPr>
          </w:p>
        </w:tc>
        <w:tc>
          <w:tcPr>
            <w:tcW w:w="2160" w:type="dxa"/>
            <w:shd w:val="clear" w:color="auto" w:fill="CCFFCC"/>
          </w:tcPr>
          <w:p w:rsidR="00415640" w:rsidRPr="002253E5" w:rsidRDefault="00415640" w:rsidP="00561C6C">
            <w:pPr>
              <w:autoSpaceDE w:val="0"/>
              <w:autoSpaceDN w:val="0"/>
              <w:adjustRightInd w:val="0"/>
              <w:rPr>
                <w:rFonts w:cs="Arial"/>
              </w:rPr>
            </w:pPr>
          </w:p>
        </w:tc>
        <w:tc>
          <w:tcPr>
            <w:tcW w:w="1440" w:type="dxa"/>
            <w:shd w:val="clear" w:color="auto" w:fill="CCFFCC"/>
          </w:tcPr>
          <w:p w:rsidR="00415640" w:rsidRPr="002253E5" w:rsidRDefault="00415640" w:rsidP="00561C6C">
            <w:pPr>
              <w:autoSpaceDE w:val="0"/>
              <w:autoSpaceDN w:val="0"/>
              <w:adjustRightInd w:val="0"/>
              <w:rPr>
                <w:rFonts w:cs="Arial"/>
              </w:rPr>
            </w:pPr>
          </w:p>
        </w:tc>
      </w:tr>
      <w:tr w:rsidR="00415640" w:rsidRPr="002253E5">
        <w:trPr>
          <w:jc w:val="center"/>
        </w:trPr>
        <w:tc>
          <w:tcPr>
            <w:tcW w:w="3474" w:type="dxa"/>
            <w:vMerge w:val="restart"/>
          </w:tcPr>
          <w:p w:rsidR="00415640" w:rsidRDefault="00415640" w:rsidP="00561C6C">
            <w:pPr>
              <w:autoSpaceDE w:val="0"/>
              <w:autoSpaceDN w:val="0"/>
              <w:adjustRightInd w:val="0"/>
              <w:rPr>
                <w:rFonts w:cs="Arial"/>
              </w:rPr>
            </w:pPr>
          </w:p>
          <w:p w:rsidR="00415640" w:rsidRDefault="00415640" w:rsidP="00561C6C">
            <w:pPr>
              <w:autoSpaceDE w:val="0"/>
              <w:autoSpaceDN w:val="0"/>
              <w:adjustRightInd w:val="0"/>
              <w:rPr>
                <w:rFonts w:cs="Arial"/>
              </w:rPr>
            </w:pPr>
          </w:p>
          <w:p w:rsidR="00415640" w:rsidRDefault="00415640" w:rsidP="00561C6C">
            <w:pPr>
              <w:autoSpaceDE w:val="0"/>
              <w:autoSpaceDN w:val="0"/>
              <w:adjustRightInd w:val="0"/>
              <w:rPr>
                <w:rFonts w:cs="Arial"/>
              </w:rPr>
            </w:pPr>
          </w:p>
          <w:p w:rsidR="00415640" w:rsidRPr="002253E5" w:rsidRDefault="00415640" w:rsidP="00561C6C">
            <w:pPr>
              <w:autoSpaceDE w:val="0"/>
              <w:autoSpaceDN w:val="0"/>
              <w:adjustRightInd w:val="0"/>
              <w:rPr>
                <w:rFonts w:cs="Arial"/>
              </w:rPr>
            </w:pPr>
            <w:r w:rsidRPr="002253E5">
              <w:rPr>
                <w:rFonts w:cs="Arial"/>
              </w:rPr>
              <w:t>Combustion Turbine - Gas Fuel</w:t>
            </w:r>
          </w:p>
        </w:tc>
        <w:tc>
          <w:tcPr>
            <w:tcW w:w="1620" w:type="dxa"/>
            <w:vMerge w:val="restart"/>
          </w:tcPr>
          <w:p w:rsidR="00415640" w:rsidRDefault="00415640" w:rsidP="00561C6C">
            <w:pPr>
              <w:autoSpaceDE w:val="0"/>
              <w:autoSpaceDN w:val="0"/>
              <w:adjustRightInd w:val="0"/>
              <w:rPr>
                <w:rFonts w:cs="Arial"/>
              </w:rPr>
            </w:pPr>
            <w:r w:rsidRPr="002253E5">
              <w:rPr>
                <w:rFonts w:cs="Arial"/>
              </w:rPr>
              <w:t xml:space="preserve">         </w:t>
            </w:r>
          </w:p>
          <w:p w:rsidR="00415640" w:rsidRDefault="00415640" w:rsidP="00561C6C">
            <w:pPr>
              <w:autoSpaceDE w:val="0"/>
              <w:autoSpaceDN w:val="0"/>
              <w:adjustRightInd w:val="0"/>
              <w:rPr>
                <w:rFonts w:cs="Arial"/>
              </w:rPr>
            </w:pPr>
          </w:p>
          <w:p w:rsidR="00415640" w:rsidRDefault="00415640" w:rsidP="00561C6C">
            <w:pPr>
              <w:autoSpaceDE w:val="0"/>
              <w:autoSpaceDN w:val="0"/>
              <w:adjustRightInd w:val="0"/>
              <w:rPr>
                <w:rFonts w:cs="Arial"/>
              </w:rPr>
            </w:pPr>
          </w:p>
          <w:p w:rsidR="00415640" w:rsidRPr="002253E5" w:rsidRDefault="00415640" w:rsidP="00561C6C">
            <w:pPr>
              <w:autoSpaceDE w:val="0"/>
              <w:autoSpaceDN w:val="0"/>
              <w:adjustRightInd w:val="0"/>
              <w:rPr>
                <w:rFonts w:cs="Arial"/>
              </w:rPr>
            </w:pPr>
            <w:r>
              <w:rPr>
                <w:rFonts w:cs="Arial"/>
              </w:rPr>
              <w:t xml:space="preserve">         </w:t>
            </w:r>
            <w:r w:rsidRPr="002253E5">
              <w:rPr>
                <w:rFonts w:cs="Arial"/>
              </w:rPr>
              <w:t>All</w:t>
            </w:r>
          </w:p>
        </w:tc>
        <w:tc>
          <w:tcPr>
            <w:tcW w:w="1953" w:type="dxa"/>
            <w:vMerge w:val="restart"/>
          </w:tcPr>
          <w:p w:rsidR="00415640" w:rsidRPr="002253E5" w:rsidRDefault="00415640" w:rsidP="00561C6C">
            <w:pPr>
              <w:autoSpaceDE w:val="0"/>
              <w:autoSpaceDN w:val="0"/>
              <w:adjustRightInd w:val="0"/>
              <w:rPr>
                <w:rFonts w:cs="Arial"/>
              </w:rPr>
            </w:pPr>
            <w:r w:rsidRPr="002253E5">
              <w:rPr>
                <w:rFonts w:cs="Arial"/>
              </w:rPr>
              <w:t xml:space="preserve"> </w:t>
            </w:r>
          </w:p>
          <w:p w:rsidR="00415640" w:rsidRPr="002253E5" w:rsidRDefault="00415640" w:rsidP="00561C6C">
            <w:pPr>
              <w:autoSpaceDE w:val="0"/>
              <w:autoSpaceDN w:val="0"/>
              <w:adjustRightInd w:val="0"/>
              <w:rPr>
                <w:rFonts w:cs="Arial"/>
              </w:rPr>
            </w:pPr>
            <w:r>
              <w:rPr>
                <w:rFonts w:cs="Arial"/>
              </w:rPr>
              <w:t xml:space="preserve">    Simple Cycle</w:t>
            </w:r>
          </w:p>
        </w:tc>
        <w:tc>
          <w:tcPr>
            <w:tcW w:w="2160" w:type="dxa"/>
          </w:tcPr>
          <w:p w:rsidR="00415640" w:rsidRPr="002253E5" w:rsidRDefault="00415640" w:rsidP="00561C6C">
            <w:pPr>
              <w:autoSpaceDE w:val="0"/>
              <w:autoSpaceDN w:val="0"/>
              <w:adjustRightInd w:val="0"/>
              <w:rPr>
                <w:rFonts w:cs="Arial"/>
                <w:sz w:val="20"/>
                <w:szCs w:val="20"/>
              </w:rPr>
            </w:pPr>
            <w:r>
              <w:rPr>
                <w:rFonts w:cs="Arial"/>
                <w:sz w:val="20"/>
                <w:szCs w:val="20"/>
              </w:rPr>
              <w:t xml:space="preserve"> </w:t>
            </w:r>
            <w:r w:rsidRPr="002253E5">
              <w:rPr>
                <w:rFonts w:cs="Arial"/>
                <w:sz w:val="20"/>
                <w:szCs w:val="20"/>
              </w:rPr>
              <w:t xml:space="preserve"> </w:t>
            </w:r>
            <w:r>
              <w:rPr>
                <w:rFonts w:cs="Arial"/>
                <w:sz w:val="20"/>
                <w:szCs w:val="20"/>
              </w:rPr>
              <w:t xml:space="preserve">25 </w:t>
            </w:r>
            <w:r w:rsidRPr="002253E5">
              <w:rPr>
                <w:rFonts w:cs="Arial"/>
                <w:sz w:val="20"/>
                <w:szCs w:val="20"/>
              </w:rPr>
              <w:t>ppmvd@15%O2</w:t>
            </w:r>
            <w:r>
              <w:rPr>
                <w:rFonts w:cs="Arial"/>
                <w:sz w:val="20"/>
                <w:szCs w:val="20"/>
              </w:rPr>
              <w:t>*</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tcPr>
          <w:p w:rsidR="00415640" w:rsidRDefault="00415640" w:rsidP="00561C6C">
            <w:pPr>
              <w:autoSpaceDE w:val="0"/>
              <w:autoSpaceDN w:val="0"/>
              <w:adjustRightInd w:val="0"/>
              <w:rPr>
                <w:rFonts w:cs="Arial"/>
              </w:rPr>
            </w:pPr>
          </w:p>
        </w:tc>
        <w:tc>
          <w:tcPr>
            <w:tcW w:w="2160" w:type="dxa"/>
          </w:tcPr>
          <w:p w:rsidR="00415640" w:rsidRDefault="00415640" w:rsidP="00561C6C">
            <w:pPr>
              <w:autoSpaceDE w:val="0"/>
              <w:autoSpaceDN w:val="0"/>
              <w:adjustRightInd w:val="0"/>
              <w:rPr>
                <w:rFonts w:cs="Arial"/>
                <w:sz w:val="20"/>
                <w:szCs w:val="20"/>
              </w:rPr>
            </w:pPr>
            <w:r>
              <w:rPr>
                <w:rFonts w:cs="Arial"/>
                <w:sz w:val="20"/>
                <w:szCs w:val="20"/>
              </w:rPr>
              <w:t xml:space="preserve">      0.10 lb/MMBtu</w:t>
            </w:r>
          </w:p>
        </w:tc>
        <w:tc>
          <w:tcPr>
            <w:tcW w:w="1440" w:type="dxa"/>
          </w:tcPr>
          <w:p w:rsidR="00415640" w:rsidRDefault="00415640" w:rsidP="00561C6C">
            <w:pPr>
              <w:autoSpaceDE w:val="0"/>
              <w:autoSpaceDN w:val="0"/>
              <w:adjustRightInd w:val="0"/>
              <w:rPr>
                <w:rFonts w:cs="Arial"/>
              </w:rPr>
            </w:pPr>
            <w:r>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tcPr>
          <w:p w:rsidR="00415640" w:rsidRPr="002253E5" w:rsidRDefault="00415640" w:rsidP="00561C6C">
            <w:pPr>
              <w:autoSpaceDE w:val="0"/>
              <w:autoSpaceDN w:val="0"/>
              <w:adjustRightInd w:val="0"/>
              <w:rPr>
                <w:rFonts w:cs="Arial"/>
              </w:rPr>
            </w:pPr>
          </w:p>
        </w:tc>
        <w:tc>
          <w:tcPr>
            <w:tcW w:w="2160" w:type="dxa"/>
          </w:tcPr>
          <w:p w:rsidR="00415640" w:rsidRPr="002253E5" w:rsidRDefault="00415640" w:rsidP="00561C6C">
            <w:pPr>
              <w:autoSpaceDE w:val="0"/>
              <w:autoSpaceDN w:val="0"/>
              <w:adjustRightInd w:val="0"/>
              <w:rPr>
                <w:rFonts w:cs="Arial"/>
                <w:sz w:val="20"/>
                <w:szCs w:val="20"/>
              </w:rPr>
            </w:pPr>
            <w:r>
              <w:rPr>
                <w:rFonts w:cs="Arial"/>
                <w:sz w:val="20"/>
                <w:szCs w:val="20"/>
              </w:rPr>
              <w:t xml:space="preserve">       1.0 lb./MWh**</w:t>
            </w:r>
          </w:p>
        </w:tc>
        <w:tc>
          <w:tcPr>
            <w:tcW w:w="1440" w:type="dxa"/>
          </w:tcPr>
          <w:p w:rsidR="00415640" w:rsidRPr="002253E5" w:rsidRDefault="00415640" w:rsidP="00561C6C">
            <w:pPr>
              <w:autoSpaceDE w:val="0"/>
              <w:autoSpaceDN w:val="0"/>
              <w:adjustRightInd w:val="0"/>
              <w:rPr>
                <w:rFonts w:cs="Arial"/>
              </w:rPr>
            </w:pPr>
            <w:r>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val="restart"/>
          </w:tcPr>
          <w:p w:rsidR="00415640" w:rsidRDefault="00415640" w:rsidP="00561C6C">
            <w:pPr>
              <w:autoSpaceDE w:val="0"/>
              <w:autoSpaceDN w:val="0"/>
              <w:adjustRightInd w:val="0"/>
              <w:rPr>
                <w:rFonts w:cs="Arial"/>
              </w:rPr>
            </w:pPr>
          </w:p>
          <w:p w:rsidR="00415640" w:rsidRPr="002253E5" w:rsidRDefault="00415640" w:rsidP="00561C6C">
            <w:pPr>
              <w:autoSpaceDE w:val="0"/>
              <w:autoSpaceDN w:val="0"/>
              <w:adjustRightInd w:val="0"/>
              <w:rPr>
                <w:rFonts w:cs="Arial"/>
              </w:rPr>
            </w:pPr>
            <w:r>
              <w:rPr>
                <w:rFonts w:cs="Arial"/>
              </w:rPr>
              <w:t>Combined Cycle</w:t>
            </w:r>
          </w:p>
        </w:tc>
        <w:tc>
          <w:tcPr>
            <w:tcW w:w="2160" w:type="dxa"/>
          </w:tcPr>
          <w:p w:rsidR="00415640" w:rsidRPr="002253E5" w:rsidRDefault="00415640" w:rsidP="00561C6C">
            <w:pPr>
              <w:autoSpaceDE w:val="0"/>
              <w:autoSpaceDN w:val="0"/>
              <w:adjustRightInd w:val="0"/>
              <w:rPr>
                <w:rFonts w:cs="Arial"/>
              </w:rPr>
            </w:pPr>
            <w:r w:rsidRPr="002253E5">
              <w:rPr>
                <w:rFonts w:cs="Arial"/>
                <w:sz w:val="20"/>
                <w:szCs w:val="20"/>
              </w:rPr>
              <w:t xml:space="preserve"> </w:t>
            </w:r>
            <w:r>
              <w:rPr>
                <w:rFonts w:cs="Arial"/>
                <w:sz w:val="20"/>
                <w:szCs w:val="20"/>
              </w:rPr>
              <w:t xml:space="preserve"> 25</w:t>
            </w:r>
            <w:r w:rsidRPr="002253E5">
              <w:rPr>
                <w:rFonts w:cs="Arial"/>
                <w:sz w:val="20"/>
                <w:szCs w:val="20"/>
              </w:rPr>
              <w:t xml:space="preserve"> ppmvd@15%O2</w:t>
            </w:r>
            <w:r>
              <w:rPr>
                <w:rFonts w:cs="Arial"/>
                <w:sz w:val="20"/>
                <w:szCs w:val="20"/>
              </w:rPr>
              <w:t>*</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tcPr>
          <w:p w:rsidR="00415640" w:rsidRPr="002253E5" w:rsidRDefault="00415640" w:rsidP="00561C6C">
            <w:pPr>
              <w:autoSpaceDE w:val="0"/>
              <w:autoSpaceDN w:val="0"/>
              <w:adjustRightInd w:val="0"/>
              <w:rPr>
                <w:rFonts w:cs="Arial"/>
              </w:rPr>
            </w:pPr>
          </w:p>
        </w:tc>
        <w:tc>
          <w:tcPr>
            <w:tcW w:w="2160" w:type="dxa"/>
            <w:tcBorders>
              <w:bottom w:val="single" w:sz="4" w:space="0" w:color="auto"/>
            </w:tcBorders>
          </w:tcPr>
          <w:p w:rsidR="00415640" w:rsidRPr="002253E5" w:rsidRDefault="00415640" w:rsidP="00561C6C">
            <w:pPr>
              <w:autoSpaceDE w:val="0"/>
              <w:autoSpaceDN w:val="0"/>
              <w:adjustRightInd w:val="0"/>
              <w:rPr>
                <w:rFonts w:cs="Arial"/>
                <w:sz w:val="20"/>
                <w:szCs w:val="20"/>
              </w:rPr>
            </w:pPr>
            <w:r>
              <w:rPr>
                <w:rFonts w:cs="Arial"/>
                <w:sz w:val="20"/>
                <w:szCs w:val="20"/>
              </w:rPr>
              <w:t xml:space="preserve">      0.10 lb/MMBtu</w:t>
            </w:r>
          </w:p>
        </w:tc>
        <w:tc>
          <w:tcPr>
            <w:tcW w:w="1440" w:type="dxa"/>
            <w:tcBorders>
              <w:bottom w:val="single" w:sz="4" w:space="0" w:color="auto"/>
            </w:tcBorders>
          </w:tcPr>
          <w:p w:rsidR="00415640" w:rsidRPr="002253E5" w:rsidRDefault="00415640" w:rsidP="00561C6C">
            <w:pPr>
              <w:autoSpaceDE w:val="0"/>
              <w:autoSpaceDN w:val="0"/>
              <w:adjustRightInd w:val="0"/>
              <w:rPr>
                <w:rFonts w:cs="Arial"/>
              </w:rPr>
            </w:pPr>
            <w:r>
              <w:rPr>
                <w:rFonts w:cs="Arial"/>
              </w:rPr>
              <w:t xml:space="preserve">      1-hour</w:t>
            </w:r>
          </w:p>
        </w:tc>
      </w:tr>
      <w:tr w:rsidR="00415640" w:rsidRPr="002253E5">
        <w:trPr>
          <w:jc w:val="center"/>
        </w:trPr>
        <w:tc>
          <w:tcPr>
            <w:tcW w:w="3474" w:type="dxa"/>
            <w:vMerge/>
            <w:tcBorders>
              <w:bottom w:val="single" w:sz="4" w:space="0" w:color="auto"/>
            </w:tcBorders>
          </w:tcPr>
          <w:p w:rsidR="00415640" w:rsidRPr="002253E5" w:rsidRDefault="00415640" w:rsidP="00561C6C">
            <w:pPr>
              <w:autoSpaceDE w:val="0"/>
              <w:autoSpaceDN w:val="0"/>
              <w:adjustRightInd w:val="0"/>
              <w:rPr>
                <w:rFonts w:cs="Arial"/>
              </w:rPr>
            </w:pPr>
          </w:p>
        </w:tc>
        <w:tc>
          <w:tcPr>
            <w:tcW w:w="1620" w:type="dxa"/>
            <w:vMerge/>
            <w:tcBorders>
              <w:bottom w:val="single" w:sz="4" w:space="0" w:color="auto"/>
            </w:tcBorders>
          </w:tcPr>
          <w:p w:rsidR="00415640" w:rsidRPr="002253E5" w:rsidRDefault="00415640" w:rsidP="00561C6C">
            <w:pPr>
              <w:autoSpaceDE w:val="0"/>
              <w:autoSpaceDN w:val="0"/>
              <w:adjustRightInd w:val="0"/>
              <w:rPr>
                <w:rFonts w:cs="Arial"/>
              </w:rPr>
            </w:pPr>
          </w:p>
        </w:tc>
        <w:tc>
          <w:tcPr>
            <w:tcW w:w="1953" w:type="dxa"/>
            <w:vMerge/>
            <w:tcBorders>
              <w:bottom w:val="single" w:sz="4" w:space="0" w:color="auto"/>
            </w:tcBorders>
          </w:tcPr>
          <w:p w:rsidR="00415640" w:rsidRDefault="00415640" w:rsidP="00561C6C">
            <w:pPr>
              <w:autoSpaceDE w:val="0"/>
              <w:autoSpaceDN w:val="0"/>
              <w:adjustRightInd w:val="0"/>
              <w:rPr>
                <w:rFonts w:cs="Arial"/>
              </w:rPr>
            </w:pPr>
          </w:p>
        </w:tc>
        <w:tc>
          <w:tcPr>
            <w:tcW w:w="2160" w:type="dxa"/>
            <w:tcBorders>
              <w:bottom w:val="single" w:sz="4" w:space="0" w:color="auto"/>
            </w:tcBorders>
          </w:tcPr>
          <w:p w:rsidR="00415640" w:rsidRDefault="00415640" w:rsidP="00561C6C">
            <w:pPr>
              <w:autoSpaceDE w:val="0"/>
              <w:autoSpaceDN w:val="0"/>
              <w:adjustRightInd w:val="0"/>
              <w:rPr>
                <w:rFonts w:cs="Arial"/>
                <w:sz w:val="20"/>
                <w:szCs w:val="20"/>
              </w:rPr>
            </w:pPr>
            <w:r>
              <w:rPr>
                <w:rFonts w:cs="Arial"/>
                <w:sz w:val="20"/>
                <w:szCs w:val="20"/>
              </w:rPr>
              <w:t xml:space="preserve">      0.75 lb/MWh**</w:t>
            </w:r>
          </w:p>
        </w:tc>
        <w:tc>
          <w:tcPr>
            <w:tcW w:w="1440" w:type="dxa"/>
            <w:tcBorders>
              <w:bottom w:val="single" w:sz="4" w:space="0" w:color="auto"/>
            </w:tcBorders>
          </w:tcPr>
          <w:p w:rsidR="00415640" w:rsidRDefault="00415640" w:rsidP="00561C6C">
            <w:pPr>
              <w:autoSpaceDE w:val="0"/>
              <w:autoSpaceDN w:val="0"/>
              <w:adjustRightInd w:val="0"/>
              <w:rPr>
                <w:rFonts w:cs="Arial"/>
              </w:rPr>
            </w:pPr>
            <w:r>
              <w:rPr>
                <w:rFonts w:cs="Arial"/>
              </w:rPr>
              <w:t xml:space="preserve">      1-hour</w:t>
            </w:r>
          </w:p>
        </w:tc>
      </w:tr>
      <w:tr w:rsidR="00415640" w:rsidRPr="002253E5">
        <w:trPr>
          <w:jc w:val="center"/>
        </w:trPr>
        <w:tc>
          <w:tcPr>
            <w:tcW w:w="3474" w:type="dxa"/>
            <w:shd w:val="clear" w:color="auto" w:fill="CCFFCC"/>
          </w:tcPr>
          <w:p w:rsidR="00415640" w:rsidRPr="002253E5" w:rsidRDefault="00415640" w:rsidP="00561C6C">
            <w:pPr>
              <w:autoSpaceDE w:val="0"/>
              <w:autoSpaceDN w:val="0"/>
              <w:adjustRightInd w:val="0"/>
              <w:rPr>
                <w:rFonts w:cs="Arial"/>
              </w:rPr>
            </w:pPr>
          </w:p>
        </w:tc>
        <w:tc>
          <w:tcPr>
            <w:tcW w:w="1620" w:type="dxa"/>
            <w:shd w:val="clear" w:color="auto" w:fill="CCFFCC"/>
          </w:tcPr>
          <w:p w:rsidR="00415640" w:rsidRPr="002253E5" w:rsidRDefault="00415640" w:rsidP="00561C6C">
            <w:pPr>
              <w:autoSpaceDE w:val="0"/>
              <w:autoSpaceDN w:val="0"/>
              <w:adjustRightInd w:val="0"/>
              <w:rPr>
                <w:rFonts w:cs="Arial"/>
              </w:rPr>
            </w:pPr>
          </w:p>
        </w:tc>
        <w:tc>
          <w:tcPr>
            <w:tcW w:w="1953" w:type="dxa"/>
            <w:shd w:val="clear" w:color="auto" w:fill="CCFFCC"/>
          </w:tcPr>
          <w:p w:rsidR="00415640" w:rsidRPr="002253E5" w:rsidRDefault="00415640" w:rsidP="00561C6C">
            <w:pPr>
              <w:autoSpaceDE w:val="0"/>
              <w:autoSpaceDN w:val="0"/>
              <w:adjustRightInd w:val="0"/>
              <w:rPr>
                <w:rFonts w:cs="Arial"/>
              </w:rPr>
            </w:pPr>
          </w:p>
        </w:tc>
        <w:tc>
          <w:tcPr>
            <w:tcW w:w="2160" w:type="dxa"/>
            <w:shd w:val="clear" w:color="auto" w:fill="CCFFCC"/>
          </w:tcPr>
          <w:p w:rsidR="00415640" w:rsidRPr="002253E5" w:rsidRDefault="00415640" w:rsidP="00561C6C">
            <w:pPr>
              <w:autoSpaceDE w:val="0"/>
              <w:autoSpaceDN w:val="0"/>
              <w:adjustRightInd w:val="0"/>
              <w:rPr>
                <w:rFonts w:cs="Arial"/>
              </w:rPr>
            </w:pPr>
          </w:p>
        </w:tc>
        <w:tc>
          <w:tcPr>
            <w:tcW w:w="1440" w:type="dxa"/>
            <w:shd w:val="clear" w:color="auto" w:fill="CCFFCC"/>
          </w:tcPr>
          <w:p w:rsidR="00415640" w:rsidRPr="002253E5" w:rsidRDefault="00415640" w:rsidP="00561C6C">
            <w:pPr>
              <w:autoSpaceDE w:val="0"/>
              <w:autoSpaceDN w:val="0"/>
              <w:adjustRightInd w:val="0"/>
              <w:rPr>
                <w:rFonts w:cs="Arial"/>
              </w:rPr>
            </w:pPr>
          </w:p>
        </w:tc>
      </w:tr>
      <w:tr w:rsidR="00415640" w:rsidRPr="002253E5">
        <w:trPr>
          <w:jc w:val="center"/>
        </w:trPr>
        <w:tc>
          <w:tcPr>
            <w:tcW w:w="3474" w:type="dxa"/>
            <w:vMerge w:val="restart"/>
          </w:tcPr>
          <w:p w:rsidR="00415640" w:rsidRDefault="00415640" w:rsidP="00561C6C">
            <w:pPr>
              <w:autoSpaceDE w:val="0"/>
              <w:autoSpaceDN w:val="0"/>
              <w:adjustRightInd w:val="0"/>
              <w:rPr>
                <w:rFonts w:cs="Arial"/>
              </w:rPr>
            </w:pPr>
          </w:p>
          <w:p w:rsidR="00415640" w:rsidRDefault="00415640" w:rsidP="00561C6C">
            <w:pPr>
              <w:autoSpaceDE w:val="0"/>
              <w:autoSpaceDN w:val="0"/>
              <w:adjustRightInd w:val="0"/>
              <w:rPr>
                <w:rFonts w:cs="Arial"/>
              </w:rPr>
            </w:pPr>
          </w:p>
          <w:p w:rsidR="00415640" w:rsidRDefault="00415640" w:rsidP="00561C6C">
            <w:pPr>
              <w:autoSpaceDE w:val="0"/>
              <w:autoSpaceDN w:val="0"/>
              <w:adjustRightInd w:val="0"/>
              <w:rPr>
                <w:rFonts w:cs="Arial"/>
              </w:rPr>
            </w:pPr>
          </w:p>
          <w:p w:rsidR="00415640" w:rsidRPr="002253E5" w:rsidRDefault="00415640" w:rsidP="00561C6C">
            <w:pPr>
              <w:autoSpaceDE w:val="0"/>
              <w:autoSpaceDN w:val="0"/>
              <w:adjustRightInd w:val="0"/>
              <w:rPr>
                <w:rFonts w:cs="Arial"/>
              </w:rPr>
            </w:pPr>
            <w:r w:rsidRPr="002253E5">
              <w:rPr>
                <w:rFonts w:cs="Arial"/>
              </w:rPr>
              <w:t>Combustion Turbine - Oil Fuel</w:t>
            </w:r>
          </w:p>
        </w:tc>
        <w:tc>
          <w:tcPr>
            <w:tcW w:w="1620" w:type="dxa"/>
            <w:vMerge w:val="restart"/>
          </w:tcPr>
          <w:p w:rsidR="00415640" w:rsidRDefault="00415640" w:rsidP="00561C6C">
            <w:pPr>
              <w:autoSpaceDE w:val="0"/>
              <w:autoSpaceDN w:val="0"/>
              <w:adjustRightInd w:val="0"/>
              <w:rPr>
                <w:rFonts w:cs="Arial"/>
              </w:rPr>
            </w:pPr>
            <w:r w:rsidRPr="002253E5">
              <w:rPr>
                <w:rFonts w:cs="Arial"/>
              </w:rPr>
              <w:t xml:space="preserve">        </w:t>
            </w:r>
          </w:p>
          <w:p w:rsidR="00415640" w:rsidRDefault="00415640" w:rsidP="00561C6C">
            <w:pPr>
              <w:autoSpaceDE w:val="0"/>
              <w:autoSpaceDN w:val="0"/>
              <w:adjustRightInd w:val="0"/>
              <w:rPr>
                <w:rFonts w:cs="Arial"/>
              </w:rPr>
            </w:pPr>
          </w:p>
          <w:p w:rsidR="00415640" w:rsidRDefault="00415640" w:rsidP="00561C6C">
            <w:pPr>
              <w:autoSpaceDE w:val="0"/>
              <w:autoSpaceDN w:val="0"/>
              <w:adjustRightInd w:val="0"/>
              <w:rPr>
                <w:rFonts w:cs="Arial"/>
              </w:rPr>
            </w:pPr>
          </w:p>
          <w:p w:rsidR="00415640" w:rsidRPr="002253E5" w:rsidRDefault="00415640" w:rsidP="00561C6C">
            <w:pPr>
              <w:autoSpaceDE w:val="0"/>
              <w:autoSpaceDN w:val="0"/>
              <w:adjustRightInd w:val="0"/>
              <w:rPr>
                <w:rFonts w:cs="Arial"/>
              </w:rPr>
            </w:pPr>
            <w:r>
              <w:rPr>
                <w:rFonts w:cs="Arial"/>
              </w:rPr>
              <w:t xml:space="preserve">       </w:t>
            </w:r>
            <w:r w:rsidRPr="002253E5">
              <w:rPr>
                <w:rFonts w:cs="Arial"/>
              </w:rPr>
              <w:t xml:space="preserve"> All</w:t>
            </w:r>
          </w:p>
        </w:tc>
        <w:tc>
          <w:tcPr>
            <w:tcW w:w="1953" w:type="dxa"/>
            <w:vMerge w:val="restart"/>
          </w:tcPr>
          <w:p w:rsidR="00415640" w:rsidRDefault="00415640" w:rsidP="00561C6C">
            <w:pPr>
              <w:autoSpaceDE w:val="0"/>
              <w:autoSpaceDN w:val="0"/>
              <w:adjustRightInd w:val="0"/>
              <w:rPr>
                <w:rFonts w:cs="Arial"/>
              </w:rPr>
            </w:pPr>
            <w:r w:rsidRPr="002253E5">
              <w:rPr>
                <w:rFonts w:cs="Arial"/>
              </w:rPr>
              <w:t xml:space="preserve">   </w:t>
            </w:r>
          </w:p>
          <w:p w:rsidR="00415640" w:rsidRPr="002253E5" w:rsidRDefault="00415640" w:rsidP="00561C6C">
            <w:pPr>
              <w:autoSpaceDE w:val="0"/>
              <w:autoSpaceDN w:val="0"/>
              <w:adjustRightInd w:val="0"/>
              <w:rPr>
                <w:rFonts w:cs="Arial"/>
              </w:rPr>
            </w:pPr>
            <w:r>
              <w:rPr>
                <w:rFonts w:cs="Arial"/>
              </w:rPr>
              <w:t xml:space="preserve">   </w:t>
            </w:r>
            <w:r w:rsidRPr="002253E5">
              <w:rPr>
                <w:rFonts w:cs="Arial"/>
              </w:rPr>
              <w:t>Simple Cycle</w:t>
            </w:r>
          </w:p>
          <w:p w:rsidR="00415640" w:rsidRPr="002253E5" w:rsidRDefault="00415640" w:rsidP="00561C6C">
            <w:pPr>
              <w:autoSpaceDE w:val="0"/>
              <w:autoSpaceDN w:val="0"/>
              <w:adjustRightInd w:val="0"/>
              <w:rPr>
                <w:rFonts w:cs="Arial"/>
              </w:rPr>
            </w:pPr>
            <w:r>
              <w:rPr>
                <w:rFonts w:cs="Arial"/>
              </w:rPr>
              <w:t xml:space="preserve">   </w:t>
            </w:r>
          </w:p>
        </w:tc>
        <w:tc>
          <w:tcPr>
            <w:tcW w:w="2160" w:type="dxa"/>
          </w:tcPr>
          <w:p w:rsidR="00415640" w:rsidRPr="002253E5" w:rsidRDefault="00415640" w:rsidP="00561C6C">
            <w:pPr>
              <w:autoSpaceDE w:val="0"/>
              <w:autoSpaceDN w:val="0"/>
              <w:adjustRightInd w:val="0"/>
              <w:rPr>
                <w:rFonts w:cs="Arial"/>
              </w:rPr>
            </w:pPr>
            <w:r>
              <w:rPr>
                <w:rFonts w:cs="Arial"/>
                <w:sz w:val="20"/>
                <w:szCs w:val="20"/>
              </w:rPr>
              <w:t xml:space="preserve">  42 </w:t>
            </w:r>
            <w:r w:rsidRPr="002253E5">
              <w:rPr>
                <w:rFonts w:cs="Arial"/>
                <w:sz w:val="20"/>
                <w:szCs w:val="20"/>
              </w:rPr>
              <w:t>ppmvd@15%O2</w:t>
            </w:r>
            <w:r>
              <w:rPr>
                <w:rFonts w:cs="Arial"/>
                <w:sz w:val="20"/>
                <w:szCs w:val="20"/>
              </w:rPr>
              <w:t>*</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tcPr>
          <w:p w:rsidR="00415640" w:rsidRDefault="00415640" w:rsidP="00561C6C">
            <w:pPr>
              <w:autoSpaceDE w:val="0"/>
              <w:autoSpaceDN w:val="0"/>
              <w:adjustRightInd w:val="0"/>
              <w:rPr>
                <w:rFonts w:cs="Arial"/>
              </w:rPr>
            </w:pPr>
          </w:p>
        </w:tc>
        <w:tc>
          <w:tcPr>
            <w:tcW w:w="2160" w:type="dxa"/>
          </w:tcPr>
          <w:p w:rsidR="00415640" w:rsidRDefault="00415640" w:rsidP="00561C6C">
            <w:pPr>
              <w:autoSpaceDE w:val="0"/>
              <w:autoSpaceDN w:val="0"/>
              <w:adjustRightInd w:val="0"/>
              <w:rPr>
                <w:rFonts w:cs="Arial"/>
                <w:sz w:val="20"/>
                <w:szCs w:val="20"/>
              </w:rPr>
            </w:pPr>
            <w:r>
              <w:rPr>
                <w:rFonts w:cs="Arial"/>
                <w:sz w:val="20"/>
                <w:szCs w:val="20"/>
              </w:rPr>
              <w:t xml:space="preserve">     0.16 lb/MMBtu</w:t>
            </w:r>
          </w:p>
        </w:tc>
        <w:tc>
          <w:tcPr>
            <w:tcW w:w="1440" w:type="dxa"/>
          </w:tcPr>
          <w:p w:rsidR="00415640" w:rsidRDefault="00415640" w:rsidP="00561C6C">
            <w:pPr>
              <w:autoSpaceDE w:val="0"/>
              <w:autoSpaceDN w:val="0"/>
              <w:adjustRightInd w:val="0"/>
              <w:rPr>
                <w:rFonts w:cs="Arial"/>
              </w:rPr>
            </w:pPr>
            <w:r>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tcPr>
          <w:p w:rsidR="00415640" w:rsidRPr="002253E5" w:rsidRDefault="00415640" w:rsidP="00561C6C">
            <w:pPr>
              <w:autoSpaceDE w:val="0"/>
              <w:autoSpaceDN w:val="0"/>
              <w:adjustRightInd w:val="0"/>
              <w:rPr>
                <w:rFonts w:cs="Arial"/>
              </w:rPr>
            </w:pPr>
          </w:p>
        </w:tc>
        <w:tc>
          <w:tcPr>
            <w:tcW w:w="2160" w:type="dxa"/>
          </w:tcPr>
          <w:p w:rsidR="00415640" w:rsidRPr="002253E5" w:rsidRDefault="00415640" w:rsidP="00561C6C">
            <w:pPr>
              <w:autoSpaceDE w:val="0"/>
              <w:autoSpaceDN w:val="0"/>
              <w:adjustRightInd w:val="0"/>
              <w:rPr>
                <w:rFonts w:cs="Arial"/>
                <w:sz w:val="20"/>
                <w:szCs w:val="20"/>
              </w:rPr>
            </w:pPr>
            <w:r>
              <w:rPr>
                <w:rFonts w:cs="Arial"/>
                <w:sz w:val="20"/>
                <w:szCs w:val="20"/>
              </w:rPr>
              <w:t xml:space="preserve">      1.6 lb/MWh**</w:t>
            </w:r>
          </w:p>
        </w:tc>
        <w:tc>
          <w:tcPr>
            <w:tcW w:w="1440" w:type="dxa"/>
          </w:tcPr>
          <w:p w:rsidR="00415640" w:rsidRPr="002253E5" w:rsidRDefault="00415640" w:rsidP="00561C6C">
            <w:pPr>
              <w:autoSpaceDE w:val="0"/>
              <w:autoSpaceDN w:val="0"/>
              <w:adjustRightInd w:val="0"/>
              <w:rPr>
                <w:rFonts w:cs="Arial"/>
              </w:rPr>
            </w:pPr>
            <w:r>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val="restart"/>
          </w:tcPr>
          <w:p w:rsidR="00415640" w:rsidRPr="002253E5" w:rsidRDefault="00415640" w:rsidP="00561C6C">
            <w:pPr>
              <w:autoSpaceDE w:val="0"/>
              <w:autoSpaceDN w:val="0"/>
              <w:adjustRightInd w:val="0"/>
              <w:rPr>
                <w:rFonts w:cs="Arial"/>
              </w:rPr>
            </w:pPr>
          </w:p>
          <w:p w:rsidR="00415640" w:rsidRPr="002253E5" w:rsidRDefault="00415640" w:rsidP="00561C6C">
            <w:pPr>
              <w:autoSpaceDE w:val="0"/>
              <w:autoSpaceDN w:val="0"/>
              <w:adjustRightInd w:val="0"/>
              <w:rPr>
                <w:rFonts w:cs="Arial"/>
              </w:rPr>
            </w:pPr>
            <w:r>
              <w:rPr>
                <w:rFonts w:cs="Arial"/>
              </w:rPr>
              <w:t>Combined Cycle</w:t>
            </w:r>
          </w:p>
        </w:tc>
        <w:tc>
          <w:tcPr>
            <w:tcW w:w="2160" w:type="dxa"/>
          </w:tcPr>
          <w:p w:rsidR="00415640" w:rsidRPr="002253E5" w:rsidRDefault="00415640" w:rsidP="00561C6C">
            <w:pPr>
              <w:autoSpaceDE w:val="0"/>
              <w:autoSpaceDN w:val="0"/>
              <w:adjustRightInd w:val="0"/>
              <w:rPr>
                <w:rFonts w:cs="Arial"/>
              </w:rPr>
            </w:pPr>
            <w:r w:rsidRPr="002253E5">
              <w:rPr>
                <w:rFonts w:cs="Arial"/>
                <w:sz w:val="20"/>
                <w:szCs w:val="20"/>
              </w:rPr>
              <w:t xml:space="preserve">  </w:t>
            </w:r>
            <w:r>
              <w:rPr>
                <w:rFonts w:cs="Arial"/>
                <w:sz w:val="20"/>
                <w:szCs w:val="20"/>
              </w:rPr>
              <w:t>42</w:t>
            </w:r>
            <w:r w:rsidRPr="002253E5">
              <w:rPr>
                <w:rFonts w:cs="Arial"/>
                <w:sz w:val="20"/>
                <w:szCs w:val="20"/>
              </w:rPr>
              <w:t xml:space="preserve"> ppmvd@15%O2</w:t>
            </w:r>
            <w:r>
              <w:rPr>
                <w:rFonts w:cs="Arial"/>
                <w:sz w:val="20"/>
                <w:szCs w:val="20"/>
              </w:rPr>
              <w:t>*</w:t>
            </w:r>
          </w:p>
        </w:tc>
        <w:tc>
          <w:tcPr>
            <w:tcW w:w="1440" w:type="dxa"/>
          </w:tcPr>
          <w:p w:rsidR="00415640" w:rsidRPr="002253E5" w:rsidRDefault="00415640" w:rsidP="00561C6C">
            <w:pPr>
              <w:autoSpaceDE w:val="0"/>
              <w:autoSpaceDN w:val="0"/>
              <w:adjustRightInd w:val="0"/>
              <w:rPr>
                <w:rFonts w:cs="Arial"/>
              </w:rPr>
            </w:pPr>
            <w:r w:rsidRPr="002253E5">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tcPr>
          <w:p w:rsidR="00415640" w:rsidRDefault="00415640" w:rsidP="00561C6C">
            <w:pPr>
              <w:autoSpaceDE w:val="0"/>
              <w:autoSpaceDN w:val="0"/>
              <w:adjustRightInd w:val="0"/>
              <w:rPr>
                <w:rFonts w:cs="Arial"/>
              </w:rPr>
            </w:pPr>
          </w:p>
        </w:tc>
        <w:tc>
          <w:tcPr>
            <w:tcW w:w="2160" w:type="dxa"/>
          </w:tcPr>
          <w:p w:rsidR="00415640" w:rsidRDefault="00415640" w:rsidP="00561C6C">
            <w:pPr>
              <w:autoSpaceDE w:val="0"/>
              <w:autoSpaceDN w:val="0"/>
              <w:adjustRightInd w:val="0"/>
              <w:rPr>
                <w:rFonts w:cs="Arial"/>
                <w:sz w:val="20"/>
                <w:szCs w:val="20"/>
              </w:rPr>
            </w:pPr>
            <w:r>
              <w:rPr>
                <w:rFonts w:cs="Arial"/>
                <w:sz w:val="20"/>
                <w:szCs w:val="20"/>
              </w:rPr>
              <w:t xml:space="preserve">    0.16 lb/MMBtu</w:t>
            </w:r>
          </w:p>
        </w:tc>
        <w:tc>
          <w:tcPr>
            <w:tcW w:w="1440" w:type="dxa"/>
          </w:tcPr>
          <w:p w:rsidR="00415640" w:rsidRDefault="00415640" w:rsidP="00561C6C">
            <w:pPr>
              <w:autoSpaceDE w:val="0"/>
              <w:autoSpaceDN w:val="0"/>
              <w:adjustRightInd w:val="0"/>
              <w:rPr>
                <w:rFonts w:cs="Arial"/>
              </w:rPr>
            </w:pPr>
            <w:r>
              <w:rPr>
                <w:rFonts w:cs="Arial"/>
              </w:rPr>
              <w:t xml:space="preserve">      1-hour</w:t>
            </w:r>
          </w:p>
        </w:tc>
      </w:tr>
      <w:tr w:rsidR="00415640" w:rsidRPr="002253E5">
        <w:trPr>
          <w:jc w:val="center"/>
        </w:trPr>
        <w:tc>
          <w:tcPr>
            <w:tcW w:w="3474" w:type="dxa"/>
            <w:vMerge/>
          </w:tcPr>
          <w:p w:rsidR="00415640" w:rsidRPr="002253E5" w:rsidRDefault="00415640" w:rsidP="00561C6C">
            <w:pPr>
              <w:autoSpaceDE w:val="0"/>
              <w:autoSpaceDN w:val="0"/>
              <w:adjustRightInd w:val="0"/>
              <w:rPr>
                <w:rFonts w:cs="Arial"/>
              </w:rPr>
            </w:pPr>
          </w:p>
        </w:tc>
        <w:tc>
          <w:tcPr>
            <w:tcW w:w="1620" w:type="dxa"/>
            <w:vMerge/>
          </w:tcPr>
          <w:p w:rsidR="00415640" w:rsidRPr="002253E5" w:rsidRDefault="00415640" w:rsidP="00561C6C">
            <w:pPr>
              <w:autoSpaceDE w:val="0"/>
              <w:autoSpaceDN w:val="0"/>
              <w:adjustRightInd w:val="0"/>
              <w:rPr>
                <w:rFonts w:cs="Arial"/>
              </w:rPr>
            </w:pPr>
          </w:p>
        </w:tc>
        <w:tc>
          <w:tcPr>
            <w:tcW w:w="1953" w:type="dxa"/>
            <w:vMerge/>
          </w:tcPr>
          <w:p w:rsidR="00415640" w:rsidRPr="002253E5" w:rsidRDefault="00415640" w:rsidP="00561C6C">
            <w:pPr>
              <w:autoSpaceDE w:val="0"/>
              <w:autoSpaceDN w:val="0"/>
              <w:adjustRightInd w:val="0"/>
              <w:rPr>
                <w:rFonts w:cs="Arial"/>
              </w:rPr>
            </w:pPr>
          </w:p>
        </w:tc>
        <w:tc>
          <w:tcPr>
            <w:tcW w:w="2160" w:type="dxa"/>
          </w:tcPr>
          <w:p w:rsidR="00415640" w:rsidRPr="002253E5" w:rsidRDefault="00415640" w:rsidP="00561C6C">
            <w:pPr>
              <w:autoSpaceDE w:val="0"/>
              <w:autoSpaceDN w:val="0"/>
              <w:adjustRightInd w:val="0"/>
              <w:rPr>
                <w:rFonts w:cs="Arial"/>
                <w:sz w:val="20"/>
                <w:szCs w:val="20"/>
              </w:rPr>
            </w:pPr>
            <w:r>
              <w:rPr>
                <w:rFonts w:cs="Arial"/>
                <w:sz w:val="20"/>
                <w:szCs w:val="20"/>
              </w:rPr>
              <w:t xml:space="preserve">      1.2 lb/MWh**</w:t>
            </w:r>
          </w:p>
        </w:tc>
        <w:tc>
          <w:tcPr>
            <w:tcW w:w="1440" w:type="dxa"/>
          </w:tcPr>
          <w:p w:rsidR="00415640" w:rsidRPr="002253E5" w:rsidRDefault="00415640" w:rsidP="00561C6C">
            <w:pPr>
              <w:autoSpaceDE w:val="0"/>
              <w:autoSpaceDN w:val="0"/>
              <w:adjustRightInd w:val="0"/>
              <w:rPr>
                <w:rFonts w:cs="Arial"/>
              </w:rPr>
            </w:pPr>
            <w:r>
              <w:rPr>
                <w:rFonts w:cs="Arial"/>
              </w:rPr>
              <w:t xml:space="preserve">      1-hour</w:t>
            </w:r>
          </w:p>
        </w:tc>
      </w:tr>
    </w:tbl>
    <w:p w:rsidR="00415640" w:rsidRDefault="00415640" w:rsidP="00D73A54">
      <w:pPr>
        <w:ind w:left="-720" w:right="-360"/>
        <w:rPr>
          <w:sz w:val="20"/>
          <w:szCs w:val="20"/>
        </w:rPr>
      </w:pPr>
      <w:r w:rsidRPr="00415640">
        <w:rPr>
          <w:rFonts w:cs="Arial"/>
          <w:sz w:val="20"/>
          <w:szCs w:val="20"/>
        </w:rPr>
        <w:t>* Some state rules also include provisions for: alternative emission limits, NOx RACT orders with alternative NOx RACT emission limits, or the implementation of specific types of NOx control technologies.</w:t>
      </w:r>
      <w:r w:rsidR="00D73A54">
        <w:rPr>
          <w:rFonts w:cs="Arial"/>
          <w:sz w:val="20"/>
          <w:szCs w:val="20"/>
        </w:rPr>
        <w:t xml:space="preserve">  Similar alternative compliance means may be necessary for some existing units that may not be able to achieve these NOx rate limits with NOx emission controls representative of RACT.                                                                                                                      </w:t>
      </w:r>
      <w:r w:rsidRPr="00DB0609">
        <w:rPr>
          <w:sz w:val="20"/>
          <w:szCs w:val="20"/>
        </w:rPr>
        <w:t xml:space="preserve">**lb/MWh emission rates calculated using an efficiency of 35% for simple cycle CTs and 46% for combined cycle CTs [lb/MWh = lb/MMBtu * 3.413 / efficiency] </w:t>
      </w:r>
    </w:p>
    <w:p w:rsidR="00DE63C0" w:rsidRDefault="00DE63C0" w:rsidP="0069390E">
      <w:pPr>
        <w:rPr>
          <w:b/>
        </w:rPr>
      </w:pPr>
    </w:p>
    <w:p w:rsidR="0069390E" w:rsidRDefault="0069390E" w:rsidP="00DE63C0">
      <w:pPr>
        <w:jc w:val="center"/>
      </w:pPr>
      <w:r>
        <w:rPr>
          <w:b/>
        </w:rPr>
        <w:lastRenderedPageBreak/>
        <w:t>Appendices</w:t>
      </w:r>
      <w:r>
        <w:t xml:space="preserve"> </w:t>
      </w:r>
    </w:p>
    <w:p w:rsidR="0069390E" w:rsidRDefault="0069390E" w:rsidP="0069390E"/>
    <w:p w:rsidR="0069390E" w:rsidRDefault="0069390E" w:rsidP="0069390E">
      <w:pPr>
        <w:pStyle w:val="FootnoteText"/>
        <w:rPr>
          <w:sz w:val="24"/>
          <w:szCs w:val="24"/>
        </w:rPr>
      </w:pPr>
      <w:r>
        <w:rPr>
          <w:sz w:val="24"/>
          <w:szCs w:val="24"/>
        </w:rPr>
        <w:t xml:space="preserve">1. Ozone Transport Commission charge to the Stationary and Area Source Committee at November 2012 </w:t>
      </w:r>
      <w:proofErr w:type="gramStart"/>
      <w:r>
        <w:rPr>
          <w:sz w:val="24"/>
          <w:szCs w:val="24"/>
        </w:rPr>
        <w:t>Fall</w:t>
      </w:r>
      <w:proofErr w:type="gramEnd"/>
      <w:r>
        <w:rPr>
          <w:sz w:val="24"/>
          <w:szCs w:val="24"/>
        </w:rPr>
        <w:t xml:space="preserve"> meeting, Attached and available at: </w:t>
      </w:r>
      <w:hyperlink r:id="rId28" w:history="1">
        <w:r>
          <w:rPr>
            <w:rStyle w:val="Hyperlink"/>
            <w:sz w:val="24"/>
            <w:szCs w:val="24"/>
          </w:rPr>
          <w:t>http://www.otcair.org/upload/Documents/Formal%20Actions/Charge%20to%20SAS%20Committee.pdf</w:t>
        </w:r>
      </w:hyperlink>
    </w:p>
    <w:p w:rsidR="0069390E" w:rsidRDefault="0069390E" w:rsidP="0069390E">
      <w:pPr>
        <w:pStyle w:val="FootnoteText"/>
        <w:rPr>
          <w:color w:val="FF0000"/>
          <w:sz w:val="24"/>
          <w:szCs w:val="24"/>
        </w:rPr>
      </w:pPr>
    </w:p>
    <w:p w:rsidR="0069390E" w:rsidRDefault="0069390E" w:rsidP="0069390E">
      <w:pPr>
        <w:pStyle w:val="FootnoteText"/>
        <w:rPr>
          <w:sz w:val="24"/>
          <w:szCs w:val="24"/>
        </w:rPr>
      </w:pPr>
      <w:r>
        <w:rPr>
          <w:sz w:val="24"/>
          <w:szCs w:val="24"/>
        </w:rPr>
        <w:t xml:space="preserve">2. Ozone Transport Commission charge to the Stationary and Area Source Committee at November 2013 </w:t>
      </w:r>
      <w:proofErr w:type="gramStart"/>
      <w:r>
        <w:rPr>
          <w:sz w:val="24"/>
          <w:szCs w:val="24"/>
        </w:rPr>
        <w:t>Fall</w:t>
      </w:r>
      <w:proofErr w:type="gramEnd"/>
      <w:r>
        <w:rPr>
          <w:sz w:val="24"/>
          <w:szCs w:val="24"/>
        </w:rPr>
        <w:t xml:space="preserve"> meeting available at:</w:t>
      </w:r>
    </w:p>
    <w:p w:rsidR="0069390E" w:rsidRDefault="00CC363F" w:rsidP="0069390E">
      <w:pPr>
        <w:pStyle w:val="FootnoteText"/>
        <w:rPr>
          <w:sz w:val="24"/>
          <w:szCs w:val="24"/>
          <w:u w:val="single"/>
        </w:rPr>
      </w:pPr>
      <w:hyperlink r:id="rId29" w:history="1">
        <w:r w:rsidR="0069390E">
          <w:rPr>
            <w:rStyle w:val="Hyperlink"/>
          </w:rPr>
          <w:t>http://www.otcair.org/upload/Documents/Formal%20Actions/Chrg%20to%20SAS%20for%20Reg%20Attainment%20of%20Ozone.pdf</w:t>
        </w:r>
      </w:hyperlink>
    </w:p>
    <w:p w:rsidR="0069390E" w:rsidRDefault="0069390E" w:rsidP="0069390E">
      <w:pPr>
        <w:pStyle w:val="FootnoteText"/>
        <w:rPr>
          <w:sz w:val="24"/>
          <w:szCs w:val="24"/>
        </w:rPr>
      </w:pPr>
    </w:p>
    <w:p w:rsidR="0069390E" w:rsidRDefault="0069390E" w:rsidP="0069390E">
      <w:pPr>
        <w:pStyle w:val="FootnoteText"/>
        <w:rPr>
          <w:sz w:val="24"/>
          <w:szCs w:val="24"/>
        </w:rPr>
      </w:pPr>
      <w:r>
        <w:rPr>
          <w:sz w:val="24"/>
          <w:szCs w:val="24"/>
        </w:rPr>
        <w:t>3. Rev 11 25 13 EGU 25 MW MASS Shutdowns 121613 – Estimated NOx Emissions Baseline &amp; CHARTS.xls</w:t>
      </w:r>
    </w:p>
    <w:p w:rsidR="0069390E" w:rsidRDefault="0069390E" w:rsidP="0069390E">
      <w:pPr>
        <w:pStyle w:val="FootnoteText"/>
        <w:rPr>
          <w:sz w:val="24"/>
          <w:szCs w:val="24"/>
        </w:rPr>
      </w:pPr>
    </w:p>
    <w:p w:rsidR="0069390E" w:rsidRDefault="0069390E" w:rsidP="0069390E">
      <w:pPr>
        <w:pStyle w:val="FootnoteText"/>
        <w:rPr>
          <w:sz w:val="24"/>
          <w:szCs w:val="24"/>
        </w:rPr>
      </w:pPr>
      <w:r>
        <w:rPr>
          <w:sz w:val="24"/>
          <w:szCs w:val="24"/>
        </w:rPr>
        <w:t>4. Rev 11 25 13 EGU 25 MW RATES Shutdowns 121613 – Estimated NOx Emissions Baseline &amp; CHARTS.xls</w:t>
      </w:r>
    </w:p>
    <w:p w:rsidR="0069390E" w:rsidRDefault="0069390E" w:rsidP="0069390E"/>
    <w:p w:rsidR="0069390E" w:rsidRDefault="0069390E" w:rsidP="00DE63C0">
      <w:pPr>
        <w:jc w:val="center"/>
      </w:pPr>
      <w:r>
        <w:rPr>
          <w:b/>
        </w:rPr>
        <w:t>List of References</w:t>
      </w:r>
    </w:p>
    <w:p w:rsidR="0069390E" w:rsidRDefault="0069390E" w:rsidP="0069390E"/>
    <w:p w:rsidR="0069390E" w:rsidRDefault="0069390E" w:rsidP="0069390E">
      <w:pPr>
        <w:pStyle w:val="FootnoteText"/>
        <w:rPr>
          <w:sz w:val="24"/>
          <w:szCs w:val="24"/>
        </w:rPr>
      </w:pPr>
      <w:r>
        <w:rPr>
          <w:sz w:val="24"/>
          <w:szCs w:val="24"/>
        </w:rPr>
        <w:t xml:space="preserve">1. Statement from the Ozone Transport Commission Requesting the Use  and Operation of Existing Control Devises Installed at Electric Generating Units, June 2013 available at </w:t>
      </w:r>
      <w:hyperlink r:id="rId30" w:history="1">
        <w:r>
          <w:rPr>
            <w:rStyle w:val="Hyperlink"/>
            <w:sz w:val="24"/>
            <w:szCs w:val="24"/>
          </w:rPr>
          <w:t>http://www.otcair.org/upload/Documents/Formal%20Actions/Statement_EGUs.pdf</w:t>
        </w:r>
      </w:hyperlink>
      <w:r>
        <w:rPr>
          <w:sz w:val="24"/>
          <w:szCs w:val="24"/>
        </w:rPr>
        <w:t xml:space="preserve"> </w:t>
      </w:r>
    </w:p>
    <w:p w:rsidR="0069390E" w:rsidRDefault="0069390E" w:rsidP="0069390E">
      <w:pPr>
        <w:pStyle w:val="FootnoteText"/>
        <w:rPr>
          <w:sz w:val="24"/>
          <w:szCs w:val="24"/>
        </w:rPr>
      </w:pPr>
    </w:p>
    <w:p w:rsidR="0069390E" w:rsidRDefault="0069390E" w:rsidP="0069390E">
      <w:pPr>
        <w:pStyle w:val="FootnoteText"/>
        <w:rPr>
          <w:sz w:val="24"/>
          <w:szCs w:val="24"/>
        </w:rPr>
      </w:pPr>
      <w:r>
        <w:rPr>
          <w:sz w:val="24"/>
          <w:szCs w:val="24"/>
        </w:rPr>
        <w:t xml:space="preserve">2. Ozone Transport Commission Draft Model Rule Control of Oil and Gas Fired Electric Generating Unit Boiler NOx Emissions, June 2010 available at </w:t>
      </w:r>
      <w:hyperlink r:id="rId31" w:history="1">
        <w:r>
          <w:rPr>
            <w:rStyle w:val="Hyperlink"/>
            <w:sz w:val="24"/>
            <w:szCs w:val="24"/>
          </w:rPr>
          <w:t>http://www.otcair.org/upload/Documents/Meeting%20Materials/OTC%20Oil%20and%20Gas%20EGU%20Boiler%20NOx%20Model%20Rule%20Draft%20B_MOU_100603.pdf</w:t>
        </w:r>
      </w:hyperlink>
      <w:r>
        <w:rPr>
          <w:sz w:val="24"/>
          <w:szCs w:val="24"/>
        </w:rPr>
        <w:t xml:space="preserve"> </w:t>
      </w:r>
    </w:p>
    <w:p w:rsidR="0069390E" w:rsidRDefault="0069390E" w:rsidP="0069390E">
      <w:pPr>
        <w:pStyle w:val="FootnoteText"/>
        <w:rPr>
          <w:sz w:val="24"/>
          <w:szCs w:val="24"/>
        </w:rPr>
      </w:pPr>
    </w:p>
    <w:p w:rsidR="0069390E" w:rsidRDefault="0069390E" w:rsidP="0069390E">
      <w:pPr>
        <w:pStyle w:val="FootnoteText"/>
        <w:rPr>
          <w:sz w:val="24"/>
          <w:szCs w:val="24"/>
        </w:rPr>
      </w:pPr>
      <w:r>
        <w:rPr>
          <w:sz w:val="24"/>
          <w:szCs w:val="24"/>
        </w:rPr>
        <w:t xml:space="preserve">3. Ozone Transport Commission Draft Model Rule Control of NOx Emissions from Natural Gas and Distillate Oil Fired HEDD Combustion Turbines, June 2010 available at </w:t>
      </w:r>
      <w:hyperlink r:id="rId32" w:history="1">
        <w:r>
          <w:rPr>
            <w:rStyle w:val="Hyperlink"/>
            <w:sz w:val="24"/>
            <w:szCs w:val="24"/>
          </w:rPr>
          <w:t>http://www.otcair.org/upload/Documents/Model%20Rules/OTC%20Model%20Rule%20-%20HEDD%20Turbines%20Final.pdf</w:t>
        </w:r>
      </w:hyperlink>
      <w:r>
        <w:rPr>
          <w:sz w:val="24"/>
          <w:szCs w:val="24"/>
        </w:rPr>
        <w:t xml:space="preserve"> </w:t>
      </w:r>
    </w:p>
    <w:p w:rsidR="0069390E" w:rsidRDefault="0069390E" w:rsidP="0069390E">
      <w:pPr>
        <w:pStyle w:val="FootnoteText"/>
        <w:rPr>
          <w:sz w:val="24"/>
          <w:szCs w:val="24"/>
        </w:rPr>
      </w:pPr>
    </w:p>
    <w:p w:rsidR="0069390E" w:rsidRDefault="0069390E" w:rsidP="0069390E">
      <w:r>
        <w:t xml:space="preserve">4. Ozone Transport Commission Memorandum of Understanding Among the States of the Ozone Transport Commission Concerning the Incorporation of High Electric Demand Day Emission Reduction Strategies into Ozone Attainment State Implementation Planning, March 2007, available at </w:t>
      </w:r>
      <w:hyperlink r:id="rId33" w:history="1">
        <w:r>
          <w:rPr>
            <w:rStyle w:val="Hyperlink"/>
          </w:rPr>
          <w:t>http://www.otcair.org/upload/Documents/Formal%20Actions/OTC_2007_SpecialMtg_%20HEDDMOU_Final_070302[1].pdf</w:t>
        </w:r>
      </w:hyperlink>
    </w:p>
    <w:p w:rsidR="0069390E" w:rsidRDefault="0069390E" w:rsidP="0069390E"/>
    <w:p w:rsidR="0069390E" w:rsidRDefault="0069390E" w:rsidP="0069390E">
      <w:pPr>
        <w:rPr>
          <w:rFonts w:cs="Arial"/>
          <w:bCs/>
        </w:rPr>
      </w:pPr>
      <w:r>
        <w:t>5.</w:t>
      </w:r>
      <w:r>
        <w:rPr>
          <w:rFonts w:cs="Arial"/>
          <w:bCs/>
        </w:rPr>
        <w:t xml:space="preserve"> OTC Modeling Domain – Revised 041213.pptx</w:t>
      </w:r>
    </w:p>
    <w:p w:rsidR="0069390E" w:rsidRDefault="0069390E" w:rsidP="0069390E">
      <w:pPr>
        <w:rPr>
          <w:rFonts w:cs="Arial"/>
          <w:bCs/>
        </w:rPr>
      </w:pPr>
    </w:p>
    <w:p w:rsidR="0069390E" w:rsidRDefault="0069390E" w:rsidP="0069390E">
      <w:pPr>
        <w:pStyle w:val="FootnoteText"/>
        <w:rPr>
          <w:sz w:val="24"/>
          <w:szCs w:val="24"/>
        </w:rPr>
      </w:pPr>
      <w:r>
        <w:rPr>
          <w:rFonts w:cs="Arial"/>
          <w:bCs/>
          <w:sz w:val="24"/>
          <w:szCs w:val="24"/>
        </w:rPr>
        <w:t>6.</w:t>
      </w:r>
      <w:r>
        <w:rPr>
          <w:sz w:val="24"/>
          <w:szCs w:val="24"/>
        </w:rPr>
        <w:t xml:space="preserve">  Ozone Transport Commission 2013 Annual Meeting, Stationary and Area Source Presentation, New Haven, Connecticut, slide 7-8, June 13, 2013</w:t>
      </w:r>
    </w:p>
    <w:p w:rsidR="0069390E" w:rsidRDefault="0069390E" w:rsidP="0069390E">
      <w:pPr>
        <w:rPr>
          <w:rFonts w:cs="Arial"/>
          <w:bCs/>
        </w:rPr>
      </w:pPr>
    </w:p>
    <w:p w:rsidR="0069390E" w:rsidRDefault="0069390E" w:rsidP="0069390E">
      <w:r>
        <w:t xml:space="preserve">7. </w:t>
      </w:r>
      <w:hyperlink r:id="rId34" w:tgtFrame="_blank" w:history="1">
        <w:r>
          <w:rPr>
            <w:rStyle w:val="Hyperlink"/>
          </w:rPr>
          <w:t>http://ampd.epa.gov/ampd/</w:t>
        </w:r>
      </w:hyperlink>
    </w:p>
    <w:p w:rsidR="0069390E" w:rsidRDefault="0069390E" w:rsidP="0069390E"/>
    <w:p w:rsidR="0069390E" w:rsidRDefault="0069390E" w:rsidP="0069390E">
      <w:r>
        <w:t xml:space="preserve">8. </w:t>
      </w:r>
      <w:hyperlink r:id="rId35" w:tgtFrame="_blank" w:history="1">
        <w:r>
          <w:rPr>
            <w:rStyle w:val="Hyperlink"/>
          </w:rPr>
          <w:t>http://www.nws.noaa.gov/climate/</w:t>
        </w:r>
      </w:hyperlink>
    </w:p>
    <w:p w:rsidR="0069390E" w:rsidRDefault="0069390E" w:rsidP="0069390E">
      <w:pPr>
        <w:pStyle w:val="FootnoteText"/>
      </w:pPr>
    </w:p>
    <w:p w:rsidR="0069390E" w:rsidRDefault="0069390E" w:rsidP="0069390E">
      <w:pPr>
        <w:autoSpaceDE w:val="0"/>
        <w:autoSpaceDN w:val="0"/>
        <w:adjustRightInd w:val="0"/>
        <w:rPr>
          <w:bCs/>
        </w:rPr>
      </w:pPr>
      <w:r>
        <w:t>9.</w:t>
      </w:r>
      <w:r>
        <w:rPr>
          <w:bCs/>
        </w:rPr>
        <w:t xml:space="preserve"> “Final SAS Committee Update 040413 (2)”.pptx</w:t>
      </w:r>
    </w:p>
    <w:p w:rsidR="0069390E" w:rsidRDefault="0069390E" w:rsidP="0069390E">
      <w:pPr>
        <w:autoSpaceDE w:val="0"/>
        <w:autoSpaceDN w:val="0"/>
        <w:adjustRightInd w:val="0"/>
        <w:rPr>
          <w:bCs/>
        </w:rPr>
      </w:pPr>
    </w:p>
    <w:p w:rsidR="0069390E" w:rsidRDefault="0069390E" w:rsidP="0069390E">
      <w:pPr>
        <w:autoSpaceDE w:val="0"/>
        <w:autoSpaceDN w:val="0"/>
        <w:adjustRightInd w:val="0"/>
        <w:rPr>
          <w:rFonts w:cs="Arial"/>
          <w:bCs/>
        </w:rPr>
      </w:pPr>
      <w:r>
        <w:rPr>
          <w:bCs/>
        </w:rPr>
        <w:t xml:space="preserve">10. </w:t>
      </w:r>
      <w:r>
        <w:rPr>
          <w:rFonts w:cs="Arial"/>
          <w:bCs/>
        </w:rPr>
        <w:t>OTC Domain HEDD, June 21-22, 2012.pptx</w:t>
      </w:r>
    </w:p>
    <w:p w:rsidR="0069390E" w:rsidRDefault="0069390E" w:rsidP="0069390E">
      <w:pPr>
        <w:autoSpaceDE w:val="0"/>
        <w:autoSpaceDN w:val="0"/>
        <w:adjustRightInd w:val="0"/>
        <w:rPr>
          <w:rFonts w:cs="Arial"/>
          <w:bCs/>
        </w:rPr>
      </w:pPr>
    </w:p>
    <w:p w:rsidR="0069390E" w:rsidRDefault="0069390E" w:rsidP="0069390E">
      <w:pPr>
        <w:autoSpaceDE w:val="0"/>
        <w:autoSpaceDN w:val="0"/>
        <w:adjustRightInd w:val="0"/>
        <w:rPr>
          <w:rFonts w:cs="Arial"/>
          <w:bCs/>
        </w:rPr>
      </w:pPr>
      <w:r>
        <w:rPr>
          <w:rFonts w:cs="Arial"/>
          <w:bCs/>
        </w:rPr>
        <w:t xml:space="preserve">11. Coal SCR Scorecard 3. </w:t>
      </w:r>
      <w:proofErr w:type="gramStart"/>
      <w:r>
        <w:rPr>
          <w:rFonts w:cs="Arial"/>
          <w:bCs/>
        </w:rPr>
        <w:t>pptx</w:t>
      </w:r>
      <w:proofErr w:type="gramEnd"/>
    </w:p>
    <w:p w:rsidR="0069390E" w:rsidRDefault="0069390E" w:rsidP="0069390E">
      <w:pPr>
        <w:autoSpaceDE w:val="0"/>
        <w:autoSpaceDN w:val="0"/>
        <w:adjustRightInd w:val="0"/>
        <w:rPr>
          <w:rFonts w:cs="Arial"/>
          <w:bCs/>
        </w:rPr>
      </w:pPr>
    </w:p>
    <w:p w:rsidR="0069390E" w:rsidRDefault="0069390E" w:rsidP="0069390E">
      <w:pPr>
        <w:autoSpaceDE w:val="0"/>
        <w:autoSpaceDN w:val="0"/>
        <w:adjustRightInd w:val="0"/>
        <w:rPr>
          <w:rFonts w:cs="Arial"/>
          <w:bCs/>
        </w:rPr>
      </w:pPr>
      <w:r>
        <w:rPr>
          <w:rFonts w:cs="Arial"/>
          <w:bCs/>
        </w:rPr>
        <w:t>12.  Revised State Rules Summary Slides (CT, DE, NH, NJ, NY, &amp; WI) 020414.pdf</w:t>
      </w:r>
    </w:p>
    <w:p w:rsidR="0069390E" w:rsidRDefault="0069390E" w:rsidP="0069390E">
      <w:pPr>
        <w:autoSpaceDE w:val="0"/>
        <w:autoSpaceDN w:val="0"/>
        <w:adjustRightInd w:val="0"/>
        <w:rPr>
          <w:rFonts w:cs="Arial"/>
          <w:bCs/>
        </w:rPr>
      </w:pPr>
    </w:p>
    <w:p w:rsidR="0069390E" w:rsidRDefault="0069390E" w:rsidP="0069390E">
      <w:pPr>
        <w:autoSpaceDE w:val="0"/>
        <w:autoSpaceDN w:val="0"/>
        <w:adjustRightInd w:val="0"/>
        <w:rPr>
          <w:rFonts w:cs="Arial"/>
          <w:bCs/>
        </w:rPr>
      </w:pPr>
      <w:r>
        <w:rPr>
          <w:rFonts w:cs="Arial"/>
          <w:bCs/>
        </w:rPr>
        <w:t>13. NOx Rate Limit Refs.xlsx</w:t>
      </w:r>
    </w:p>
    <w:p w:rsidR="0069390E" w:rsidRDefault="0069390E" w:rsidP="0069390E">
      <w:pPr>
        <w:autoSpaceDE w:val="0"/>
        <w:autoSpaceDN w:val="0"/>
        <w:adjustRightInd w:val="0"/>
      </w:pPr>
    </w:p>
    <w:p w:rsidR="00954B62" w:rsidRDefault="0069390E" w:rsidP="00253910">
      <w:pPr>
        <w:autoSpaceDE w:val="0"/>
        <w:autoSpaceDN w:val="0"/>
        <w:adjustRightInd w:val="0"/>
        <w:rPr>
          <w:b/>
        </w:rPr>
      </w:pPr>
      <w:r>
        <w:t>14. Short Term NOx Limits Draft 9.xls</w:t>
      </w: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7A60E7" w:rsidRDefault="00DB16B8" w:rsidP="007A60E7">
      <w:pPr>
        <w:rPr>
          <w:b/>
        </w:rPr>
      </w:pPr>
      <w:r>
        <w:rPr>
          <w:b/>
          <w:noProof/>
        </w:rPr>
        <w:lastRenderedPageBreak/>
        <w:drawing>
          <wp:inline distT="0" distB="0" distL="0" distR="0">
            <wp:extent cx="5476875" cy="7077075"/>
            <wp:effectExtent l="19050" t="0" r="952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476875" cy="7077075"/>
                    </a:xfrm>
                    <a:prstGeom prst="rect">
                      <a:avLst/>
                    </a:prstGeom>
                    <a:noFill/>
                    <a:ln w="9525">
                      <a:noFill/>
                      <a:miter lim="800000"/>
                      <a:headEnd/>
                      <a:tailEnd/>
                    </a:ln>
                  </pic:spPr>
                </pic:pic>
              </a:graphicData>
            </a:graphic>
          </wp:inline>
        </w:drawing>
      </w:r>
      <w:r>
        <w:rPr>
          <w:b/>
          <w:noProof/>
        </w:rPr>
        <w:lastRenderedPageBreak/>
        <w:drawing>
          <wp:inline distT="0" distB="0" distL="0" distR="0">
            <wp:extent cx="5476875" cy="7077075"/>
            <wp:effectExtent l="19050" t="0" r="952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476875" cy="7077075"/>
                    </a:xfrm>
                    <a:prstGeom prst="rect">
                      <a:avLst/>
                    </a:prstGeom>
                    <a:noFill/>
                    <a:ln w="9525">
                      <a:noFill/>
                      <a:miter lim="800000"/>
                      <a:headEnd/>
                      <a:tailEnd/>
                    </a:ln>
                  </pic:spPr>
                </pic:pic>
              </a:graphicData>
            </a:graphic>
          </wp:inline>
        </w:drawing>
      </w: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954B62" w:rsidP="007A60E7">
      <w:pPr>
        <w:rPr>
          <w:b/>
        </w:rPr>
      </w:pPr>
    </w:p>
    <w:p w:rsidR="00954B62" w:rsidRDefault="00DB16B8" w:rsidP="00954B62">
      <w:pPr>
        <w:pStyle w:val="Default"/>
      </w:pPr>
      <w:r>
        <w:rPr>
          <w:noProof/>
        </w:rPr>
        <w:lastRenderedPageBreak/>
        <w:drawing>
          <wp:inline distT="0" distB="0" distL="0" distR="0">
            <wp:extent cx="5476875" cy="7086600"/>
            <wp:effectExtent l="19050" t="0" r="9525"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5476875" cy="7086600"/>
                    </a:xfrm>
                    <a:prstGeom prst="rect">
                      <a:avLst/>
                    </a:prstGeom>
                    <a:noFill/>
                    <a:ln w="9525">
                      <a:noFill/>
                      <a:miter lim="800000"/>
                      <a:headEnd/>
                      <a:tailEnd/>
                    </a:ln>
                  </pic:spPr>
                </pic:pic>
              </a:graphicData>
            </a:graphic>
          </wp:inline>
        </w:drawing>
      </w:r>
    </w:p>
    <w:p w:rsidR="00954B62" w:rsidRPr="007A60E7" w:rsidRDefault="00954B62" w:rsidP="007A60E7">
      <w:pPr>
        <w:rPr>
          <w:b/>
        </w:rPr>
      </w:pPr>
    </w:p>
    <w:sectPr w:rsidR="00954B62" w:rsidRPr="007A60E7" w:rsidSect="001D1C0F">
      <w:headerReference w:type="even" r:id="rId39"/>
      <w:headerReference w:type="default" r:id="rId40"/>
      <w:footerReference w:type="default" r:id="rId41"/>
      <w:headerReference w:type="first" r:id="rId42"/>
      <w:pgSz w:w="12240" w:h="15840"/>
      <w:pgMar w:top="1000" w:right="1800" w:bottom="100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FA8" w:rsidRDefault="00881FA8">
      <w:r>
        <w:separator/>
      </w:r>
    </w:p>
  </w:endnote>
  <w:endnote w:type="continuationSeparator" w:id="0">
    <w:p w:rsidR="00881FA8" w:rsidRDefault="00881F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06" w:rsidRPr="006F13F4" w:rsidRDefault="00361606" w:rsidP="006F13F4">
    <w:pPr>
      <w:pStyle w:val="Footer"/>
    </w:pPr>
    <w:r>
      <w:tab/>
    </w:r>
    <w:r>
      <w:tab/>
    </w:r>
    <w:r w:rsidR="00CC363F">
      <w:rPr>
        <w:rStyle w:val="PageNumber"/>
      </w:rPr>
      <w:fldChar w:fldCharType="begin"/>
    </w:r>
    <w:r>
      <w:rPr>
        <w:rStyle w:val="PageNumber"/>
      </w:rPr>
      <w:instrText xml:space="preserve"> PAGE </w:instrText>
    </w:r>
    <w:r w:rsidR="00CC363F">
      <w:rPr>
        <w:rStyle w:val="PageNumber"/>
      </w:rPr>
      <w:fldChar w:fldCharType="separate"/>
    </w:r>
    <w:r w:rsidR="00860CC7">
      <w:rPr>
        <w:rStyle w:val="PageNumber"/>
        <w:noProof/>
      </w:rPr>
      <w:t>2</w:t>
    </w:r>
    <w:r w:rsidR="00CC363F">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FA8" w:rsidRDefault="00881FA8">
      <w:r>
        <w:separator/>
      </w:r>
    </w:p>
  </w:footnote>
  <w:footnote w:type="continuationSeparator" w:id="0">
    <w:p w:rsidR="00881FA8" w:rsidRDefault="00881FA8">
      <w:r>
        <w:continuationSeparator/>
      </w:r>
    </w:p>
  </w:footnote>
  <w:footnote w:id="1">
    <w:p w:rsidR="006B4518" w:rsidRDefault="006B4518">
      <w:pPr>
        <w:pStyle w:val="FootnoteText"/>
      </w:pPr>
      <w:r>
        <w:rPr>
          <w:rStyle w:val="FootnoteReference"/>
        </w:rPr>
        <w:footnoteRef/>
      </w:r>
      <w:r>
        <w:t xml:space="preserve"> Ozone Transport Commission charge to the Stationary and Area Source Committee at November 2012 Fall meeting, Attached and  available at: </w:t>
      </w:r>
      <w:hyperlink r:id="rId1" w:history="1">
        <w:r>
          <w:rPr>
            <w:rStyle w:val="Hyperlink"/>
          </w:rPr>
          <w:t>http://www.otcair.org/upload/Documents/Formal%20Actions/Charge%20to%20SAS%20Committee.pdf</w:t>
        </w:r>
      </w:hyperlink>
    </w:p>
  </w:footnote>
  <w:footnote w:id="2">
    <w:p w:rsidR="00741640" w:rsidRPr="00987669" w:rsidRDefault="00741640" w:rsidP="00741640">
      <w:pPr>
        <w:pStyle w:val="FootnoteText"/>
      </w:pPr>
      <w:r>
        <w:rPr>
          <w:rStyle w:val="FootnoteReference"/>
        </w:rPr>
        <w:footnoteRef/>
      </w:r>
      <w:r>
        <w:t xml:space="preserve"> </w:t>
      </w:r>
      <w:r w:rsidRPr="00987669">
        <w:t>Ozone Transport Commission charge to the Stationary and Area Source Committee at November 2013</w:t>
      </w:r>
    </w:p>
    <w:p w:rsidR="00741640" w:rsidRPr="00987669" w:rsidRDefault="00741640" w:rsidP="00741640">
      <w:pPr>
        <w:pStyle w:val="FootnoteText"/>
      </w:pPr>
      <w:r w:rsidRPr="00987669">
        <w:t>Fall meeting available at:</w:t>
      </w:r>
    </w:p>
    <w:p w:rsidR="00741640" w:rsidRDefault="00CC363F" w:rsidP="00741640">
      <w:pPr>
        <w:pStyle w:val="FootnoteText"/>
      </w:pPr>
      <w:hyperlink r:id="rId2" w:history="1">
        <w:r w:rsidR="00741640" w:rsidRPr="00476A0C">
          <w:rPr>
            <w:rStyle w:val="Hyperlink"/>
          </w:rPr>
          <w:t>http://www.otcair.org/upload/Documents/Formal%20Actions/Chrg%20to%20SAS%20for%20Reg%20Attainment%20of%20Ozone.pdf</w:t>
        </w:r>
      </w:hyperlink>
      <w:r w:rsidR="00741640">
        <w:rPr>
          <w:u w:val="single"/>
        </w:rPr>
        <w:t xml:space="preserve"> </w:t>
      </w:r>
    </w:p>
    <w:p w:rsidR="00741640" w:rsidRDefault="00741640">
      <w:pPr>
        <w:pStyle w:val="FootnoteText"/>
      </w:pPr>
    </w:p>
  </w:footnote>
  <w:footnote w:id="3">
    <w:p w:rsidR="00741640" w:rsidRDefault="00741640" w:rsidP="00741640">
      <w:pPr>
        <w:pStyle w:val="FootnoteText"/>
      </w:pPr>
      <w:r>
        <w:rPr>
          <w:rStyle w:val="FootnoteReference"/>
        </w:rPr>
        <w:footnoteRef/>
      </w:r>
      <w:r>
        <w:t xml:space="preserve"> Ozone Transport Commission Draft Model Rule Control of Oil and Gas Fired Electric Generating Unit Boiler NOx Emissions, June 2010 available at</w:t>
      </w:r>
    </w:p>
    <w:p w:rsidR="00741640" w:rsidRDefault="00CC363F" w:rsidP="00741640">
      <w:pPr>
        <w:pStyle w:val="FootnoteText"/>
      </w:pPr>
      <w:hyperlink r:id="rId3" w:history="1">
        <w:r w:rsidR="00741640" w:rsidRPr="00383755">
          <w:rPr>
            <w:rStyle w:val="Hyperlink"/>
          </w:rPr>
          <w:t>http://www.otcair.org/upload/Documents/Meeting%20Materials/OTC%20Oil%20and%20Gas%20EGU%20Boiler%20NOx%20Model%20Rule%20Draft%20B_MOU_100603.pdf</w:t>
        </w:r>
      </w:hyperlink>
    </w:p>
    <w:p w:rsidR="00741640" w:rsidRDefault="00741640" w:rsidP="00741640">
      <w:pPr>
        <w:pStyle w:val="FootnoteText"/>
      </w:pPr>
    </w:p>
    <w:p w:rsidR="00741640" w:rsidRDefault="00741640" w:rsidP="00741640">
      <w:pPr>
        <w:pStyle w:val="FootnoteText"/>
      </w:pPr>
      <w:r>
        <w:t>Ozone Transport Commission Draft Model Rule Control of NOx Emissions from Natural Gas and Distillate Oil Fired HEDD Turbines, June 2010 available at</w:t>
      </w:r>
    </w:p>
    <w:p w:rsidR="00741640" w:rsidRDefault="00CC363F" w:rsidP="00741640">
      <w:pPr>
        <w:pStyle w:val="FootnoteText"/>
      </w:pPr>
      <w:hyperlink r:id="rId4" w:history="1">
        <w:r w:rsidR="00741640" w:rsidRPr="00383755">
          <w:rPr>
            <w:rStyle w:val="Hyperlink"/>
          </w:rPr>
          <w:t>http://www.otcair.org/upload/Documents/Model%20Rules/OTC%20Model%20Rule%20-%20HEDD%20Turbines%20Final.pdf</w:t>
        </w:r>
      </w:hyperlink>
    </w:p>
    <w:p w:rsidR="00741640" w:rsidRDefault="00741640" w:rsidP="00741640">
      <w:pPr>
        <w:pStyle w:val="FootnoteText"/>
      </w:pPr>
    </w:p>
    <w:p w:rsidR="00741640" w:rsidRDefault="00741640" w:rsidP="00741640">
      <w:pPr>
        <w:pStyle w:val="FootnoteText"/>
      </w:pPr>
      <w:r>
        <w:t>Ozone Transport Commission Memorandum of Understanding Among the States of the Ozone Transport Commission Concerning the Incorporation of High Electric Demand Day Emission Reduction Strategies into Ozone Attainment State Implementation Planning, March 2007, available at</w:t>
      </w:r>
    </w:p>
    <w:p w:rsidR="00741640" w:rsidRDefault="00CC363F" w:rsidP="00741640">
      <w:pPr>
        <w:pStyle w:val="FootnoteText"/>
      </w:pPr>
      <w:hyperlink r:id="rId5" w:history="1">
        <w:r w:rsidR="00741640" w:rsidRPr="00383755">
          <w:rPr>
            <w:rStyle w:val="Hyperlink"/>
          </w:rPr>
          <w:t>http://www.otcair.org/upload/Documents/Formal%20Actions/OTC_2007_SpecialMtg_%20HEDDMOU_Final_070302[1].pdf</w:t>
        </w:r>
      </w:hyperlink>
    </w:p>
    <w:p w:rsidR="00741640" w:rsidRDefault="00741640" w:rsidP="00741640">
      <w:pPr>
        <w:pStyle w:val="FootnoteText"/>
      </w:pPr>
    </w:p>
  </w:footnote>
  <w:footnote w:id="4">
    <w:p w:rsidR="00741640" w:rsidRDefault="00741640">
      <w:pPr>
        <w:pStyle w:val="FootnoteText"/>
      </w:pPr>
      <w:r>
        <w:rPr>
          <w:rStyle w:val="FootnoteReference"/>
        </w:rPr>
        <w:footnoteRef/>
      </w:r>
      <w:r>
        <w:t xml:space="preserve"> </w:t>
      </w:r>
      <w:hyperlink r:id="rId6" w:tgtFrame="_blank" w:history="1">
        <w:r w:rsidRPr="003516F2">
          <w:rPr>
            <w:rStyle w:val="Hyperlink"/>
            <w:color w:val="auto"/>
          </w:rPr>
          <w:t>http://ampd.epa.gov/ampd/</w:t>
        </w:r>
      </w:hyperlink>
    </w:p>
  </w:footnote>
  <w:footnote w:id="5">
    <w:p w:rsidR="00741640" w:rsidRDefault="00741640">
      <w:pPr>
        <w:pStyle w:val="FootnoteText"/>
      </w:pPr>
      <w:r>
        <w:rPr>
          <w:rStyle w:val="FootnoteReference"/>
        </w:rPr>
        <w:footnoteRef/>
      </w:r>
      <w:r>
        <w:t xml:space="preserve"> </w:t>
      </w:r>
      <w:hyperlink r:id="rId7" w:tgtFrame="_blank" w:history="1">
        <w:r w:rsidRPr="003516F2">
          <w:rPr>
            <w:rStyle w:val="Hyperlink"/>
            <w:color w:val="auto"/>
          </w:rPr>
          <w:t>http://www.nws.noaa.gov/climate/</w:t>
        </w:r>
      </w:hyperlink>
    </w:p>
  </w:footnote>
  <w:footnote w:id="6">
    <w:p w:rsidR="00741640" w:rsidRDefault="00741640" w:rsidP="00741640">
      <w:pPr>
        <w:pStyle w:val="FootnoteText"/>
      </w:pPr>
      <w:r>
        <w:rPr>
          <w:rStyle w:val="FootnoteReference"/>
        </w:rPr>
        <w:footnoteRef/>
      </w:r>
      <w:r>
        <w:t xml:space="preserve"> Rates used in this section were provided by OTC States. The OTC EGU Subgroup requested from all OTC states short term rates that were on the books. The EGU subgroup received responses from Connecticut, Delaware, New Hampshire, New Jersey, and New York. The emission rate for Wisconsin was provided by an OTC state. The rates in this section are meant to be reflective of base load units, peaking units and units used with lower capacity may have other limits with which to comply.</w:t>
      </w:r>
    </w:p>
    <w:p w:rsidR="00741640" w:rsidRDefault="00741640">
      <w:pPr>
        <w:pStyle w:val="FootnoteText"/>
      </w:pPr>
    </w:p>
  </w:footnote>
  <w:footnote w:id="7">
    <w:p w:rsidR="00741640" w:rsidRDefault="00741640">
      <w:pPr>
        <w:pStyle w:val="FootnoteText"/>
      </w:pPr>
      <w:r>
        <w:rPr>
          <w:rStyle w:val="FootnoteReference"/>
        </w:rPr>
        <w:footnoteRef/>
      </w:r>
      <w:r>
        <w:t xml:space="preserve"> Good emission control practices means operating the NOx emission controls as efficiently as possible in order to reduce NOx emissions as much as possible. Good emissions control would also include maintaining the emission controls according to manufacturer’s recommendations.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06" w:rsidRDefault="00CC36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610" o:spid="_x0000_s2050" type="#_x0000_t136" style="position:absolute;margin-left:0;margin-top:0;width:435.05pt;height:174pt;rotation:315;z-index:-251658752;mso-position-horizontal:center;mso-position-horizontal-relative:margin;mso-position-vertical:center;mso-position-vertical-relative:margin" o:allowincell="f" fillcolor="#7f7f7f"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06" w:rsidRDefault="00CC363F" w:rsidP="001D1C0F">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611" o:spid="_x0000_s2051" type="#_x0000_t136" style="position:absolute;left:0;text-align:left;margin-left:0;margin-top:0;width:435.05pt;height:174pt;rotation:315;z-index:-251657728;mso-position-horizontal:center;mso-position-horizontal-relative:margin;mso-position-vertical:center;mso-position-vertical-relative:margin" o:allowincell="f" fillcolor="#7f7f7f" stroked="f">
          <v:fill opacity=".5"/>
          <v:textpath style="font-family:&quot;Times New Roman&quot;;font-size:1pt" string="Draft"/>
          <w10:wrap anchorx="margin" anchory="margin"/>
        </v:shape>
      </w:pict>
    </w:r>
    <w:r w:rsidR="00361606">
      <w:tab/>
    </w:r>
    <w:r w:rsidR="00361606">
      <w:tab/>
      <w:t>OTC Largest Contributor EGU Subgroup</w:t>
    </w:r>
  </w:p>
  <w:p w:rsidR="001D1C0F" w:rsidRDefault="00361606" w:rsidP="001D1C0F">
    <w:pPr>
      <w:pStyle w:val="Header"/>
      <w:jc w:val="right"/>
    </w:pPr>
    <w:r>
      <w:tab/>
      <w:t xml:space="preserve">                                       EGU Emissions Inventory Analyses</w:t>
    </w:r>
    <w:r w:rsidR="001D1C0F">
      <w:t xml:space="preserve">  </w:t>
    </w:r>
  </w:p>
  <w:p w:rsidR="00361606" w:rsidRDefault="00361606" w:rsidP="001D1C0F">
    <w:pPr>
      <w:pStyle w:val="Header"/>
      <w:jc w:val="righ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06" w:rsidRDefault="00CC36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609" o:spid="_x0000_s2049" type="#_x0000_t136" style="position:absolute;margin-left:0;margin-top:0;width:435.05pt;height:174pt;rotation:315;z-index:-251659776;mso-position-horizontal:center;mso-position-horizontal-relative:margin;mso-position-vertical:center;mso-position-vertical-relative:margin" o:allowincell="f" fillcolor="#7f7f7f"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38E0"/>
    <w:multiLevelType w:val="hybridMultilevel"/>
    <w:tmpl w:val="658C3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F14C67"/>
    <w:multiLevelType w:val="hybridMultilevel"/>
    <w:tmpl w:val="FA4CF9F6"/>
    <w:lvl w:ilvl="0" w:tplc="1FDC9A0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26D10"/>
    <w:multiLevelType w:val="hybridMultilevel"/>
    <w:tmpl w:val="BF4E8DE0"/>
    <w:lvl w:ilvl="0" w:tplc="5978E5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A2B9E"/>
    <w:multiLevelType w:val="hybridMultilevel"/>
    <w:tmpl w:val="28EC2B98"/>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13100D45"/>
    <w:multiLevelType w:val="hybridMultilevel"/>
    <w:tmpl w:val="A0069824"/>
    <w:lvl w:ilvl="0" w:tplc="152C79B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168B7DED"/>
    <w:multiLevelType w:val="hybridMultilevel"/>
    <w:tmpl w:val="7696FEDA"/>
    <w:lvl w:ilvl="0" w:tplc="9AD0AEC2">
      <w:start w:val="1"/>
      <w:numFmt w:val="bullet"/>
      <w:lvlText w:val="•"/>
      <w:lvlJc w:val="left"/>
      <w:pPr>
        <w:tabs>
          <w:tab w:val="num" w:pos="720"/>
        </w:tabs>
        <w:ind w:left="720" w:hanging="360"/>
      </w:pPr>
      <w:rPr>
        <w:rFonts w:ascii="Arial" w:hAnsi="Arial" w:hint="default"/>
      </w:rPr>
    </w:lvl>
    <w:lvl w:ilvl="1" w:tplc="FB0A4160" w:tentative="1">
      <w:start w:val="1"/>
      <w:numFmt w:val="bullet"/>
      <w:lvlText w:val="•"/>
      <w:lvlJc w:val="left"/>
      <w:pPr>
        <w:tabs>
          <w:tab w:val="num" w:pos="1440"/>
        </w:tabs>
        <w:ind w:left="1440" w:hanging="360"/>
      </w:pPr>
      <w:rPr>
        <w:rFonts w:ascii="Arial" w:hAnsi="Arial" w:hint="default"/>
      </w:rPr>
    </w:lvl>
    <w:lvl w:ilvl="2" w:tplc="75129700" w:tentative="1">
      <w:start w:val="1"/>
      <w:numFmt w:val="bullet"/>
      <w:lvlText w:val="•"/>
      <w:lvlJc w:val="left"/>
      <w:pPr>
        <w:tabs>
          <w:tab w:val="num" w:pos="2160"/>
        </w:tabs>
        <w:ind w:left="2160" w:hanging="360"/>
      </w:pPr>
      <w:rPr>
        <w:rFonts w:ascii="Arial" w:hAnsi="Arial" w:hint="default"/>
      </w:rPr>
    </w:lvl>
    <w:lvl w:ilvl="3" w:tplc="6D7CA00C" w:tentative="1">
      <w:start w:val="1"/>
      <w:numFmt w:val="bullet"/>
      <w:lvlText w:val="•"/>
      <w:lvlJc w:val="left"/>
      <w:pPr>
        <w:tabs>
          <w:tab w:val="num" w:pos="2880"/>
        </w:tabs>
        <w:ind w:left="2880" w:hanging="360"/>
      </w:pPr>
      <w:rPr>
        <w:rFonts w:ascii="Arial" w:hAnsi="Arial" w:hint="default"/>
      </w:rPr>
    </w:lvl>
    <w:lvl w:ilvl="4" w:tplc="65421A06" w:tentative="1">
      <w:start w:val="1"/>
      <w:numFmt w:val="bullet"/>
      <w:lvlText w:val="•"/>
      <w:lvlJc w:val="left"/>
      <w:pPr>
        <w:tabs>
          <w:tab w:val="num" w:pos="3600"/>
        </w:tabs>
        <w:ind w:left="3600" w:hanging="360"/>
      </w:pPr>
      <w:rPr>
        <w:rFonts w:ascii="Arial" w:hAnsi="Arial" w:hint="default"/>
      </w:rPr>
    </w:lvl>
    <w:lvl w:ilvl="5" w:tplc="CDB8854E" w:tentative="1">
      <w:start w:val="1"/>
      <w:numFmt w:val="bullet"/>
      <w:lvlText w:val="•"/>
      <w:lvlJc w:val="left"/>
      <w:pPr>
        <w:tabs>
          <w:tab w:val="num" w:pos="4320"/>
        </w:tabs>
        <w:ind w:left="4320" w:hanging="360"/>
      </w:pPr>
      <w:rPr>
        <w:rFonts w:ascii="Arial" w:hAnsi="Arial" w:hint="default"/>
      </w:rPr>
    </w:lvl>
    <w:lvl w:ilvl="6" w:tplc="8558003C" w:tentative="1">
      <w:start w:val="1"/>
      <w:numFmt w:val="bullet"/>
      <w:lvlText w:val="•"/>
      <w:lvlJc w:val="left"/>
      <w:pPr>
        <w:tabs>
          <w:tab w:val="num" w:pos="5040"/>
        </w:tabs>
        <w:ind w:left="5040" w:hanging="360"/>
      </w:pPr>
      <w:rPr>
        <w:rFonts w:ascii="Arial" w:hAnsi="Arial" w:hint="default"/>
      </w:rPr>
    </w:lvl>
    <w:lvl w:ilvl="7" w:tplc="3AEE3656" w:tentative="1">
      <w:start w:val="1"/>
      <w:numFmt w:val="bullet"/>
      <w:lvlText w:val="•"/>
      <w:lvlJc w:val="left"/>
      <w:pPr>
        <w:tabs>
          <w:tab w:val="num" w:pos="5760"/>
        </w:tabs>
        <w:ind w:left="5760" w:hanging="360"/>
      </w:pPr>
      <w:rPr>
        <w:rFonts w:ascii="Arial" w:hAnsi="Arial" w:hint="default"/>
      </w:rPr>
    </w:lvl>
    <w:lvl w:ilvl="8" w:tplc="12D27026" w:tentative="1">
      <w:start w:val="1"/>
      <w:numFmt w:val="bullet"/>
      <w:lvlText w:val="•"/>
      <w:lvlJc w:val="left"/>
      <w:pPr>
        <w:tabs>
          <w:tab w:val="num" w:pos="6480"/>
        </w:tabs>
        <w:ind w:left="6480" w:hanging="360"/>
      </w:pPr>
      <w:rPr>
        <w:rFonts w:ascii="Arial" w:hAnsi="Arial" w:hint="default"/>
      </w:rPr>
    </w:lvl>
  </w:abstractNum>
  <w:abstractNum w:abstractNumId="6">
    <w:nsid w:val="21DD4A2C"/>
    <w:multiLevelType w:val="hybridMultilevel"/>
    <w:tmpl w:val="79FE6F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36A4137"/>
    <w:multiLevelType w:val="hybridMultilevel"/>
    <w:tmpl w:val="EF5EA5A6"/>
    <w:lvl w:ilvl="0" w:tplc="CDDE5D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B47C00"/>
    <w:multiLevelType w:val="hybridMultilevel"/>
    <w:tmpl w:val="A7723A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F7150E"/>
    <w:multiLevelType w:val="hybridMultilevel"/>
    <w:tmpl w:val="ED02F9CA"/>
    <w:lvl w:ilvl="0" w:tplc="53FEA35A">
      <w:start w:val="1"/>
      <w:numFmt w:val="bullet"/>
      <w:lvlText w:val="•"/>
      <w:lvlJc w:val="left"/>
      <w:pPr>
        <w:tabs>
          <w:tab w:val="num" w:pos="720"/>
        </w:tabs>
        <w:ind w:left="720" w:hanging="360"/>
      </w:pPr>
      <w:rPr>
        <w:rFonts w:ascii="Times New Roman" w:hAnsi="Times New Roman" w:hint="default"/>
      </w:rPr>
    </w:lvl>
    <w:lvl w:ilvl="1" w:tplc="54EEA206">
      <w:start w:val="168"/>
      <w:numFmt w:val="bullet"/>
      <w:lvlText w:val="–"/>
      <w:lvlJc w:val="left"/>
      <w:pPr>
        <w:tabs>
          <w:tab w:val="num" w:pos="1440"/>
        </w:tabs>
        <w:ind w:left="1440" w:hanging="360"/>
      </w:pPr>
      <w:rPr>
        <w:rFonts w:ascii="Times New Roman" w:hAnsi="Times New Roman" w:hint="default"/>
      </w:rPr>
    </w:lvl>
    <w:lvl w:ilvl="2" w:tplc="323A6642" w:tentative="1">
      <w:start w:val="1"/>
      <w:numFmt w:val="bullet"/>
      <w:lvlText w:val="•"/>
      <w:lvlJc w:val="left"/>
      <w:pPr>
        <w:tabs>
          <w:tab w:val="num" w:pos="2160"/>
        </w:tabs>
        <w:ind w:left="2160" w:hanging="360"/>
      </w:pPr>
      <w:rPr>
        <w:rFonts w:ascii="Times New Roman" w:hAnsi="Times New Roman" w:hint="default"/>
      </w:rPr>
    </w:lvl>
    <w:lvl w:ilvl="3" w:tplc="75B067BC" w:tentative="1">
      <w:start w:val="1"/>
      <w:numFmt w:val="bullet"/>
      <w:lvlText w:val="•"/>
      <w:lvlJc w:val="left"/>
      <w:pPr>
        <w:tabs>
          <w:tab w:val="num" w:pos="2880"/>
        </w:tabs>
        <w:ind w:left="2880" w:hanging="360"/>
      </w:pPr>
      <w:rPr>
        <w:rFonts w:ascii="Times New Roman" w:hAnsi="Times New Roman" w:hint="default"/>
      </w:rPr>
    </w:lvl>
    <w:lvl w:ilvl="4" w:tplc="37A66AF0" w:tentative="1">
      <w:start w:val="1"/>
      <w:numFmt w:val="bullet"/>
      <w:lvlText w:val="•"/>
      <w:lvlJc w:val="left"/>
      <w:pPr>
        <w:tabs>
          <w:tab w:val="num" w:pos="3600"/>
        </w:tabs>
        <w:ind w:left="3600" w:hanging="360"/>
      </w:pPr>
      <w:rPr>
        <w:rFonts w:ascii="Times New Roman" w:hAnsi="Times New Roman" w:hint="default"/>
      </w:rPr>
    </w:lvl>
    <w:lvl w:ilvl="5" w:tplc="D0D893EE" w:tentative="1">
      <w:start w:val="1"/>
      <w:numFmt w:val="bullet"/>
      <w:lvlText w:val="•"/>
      <w:lvlJc w:val="left"/>
      <w:pPr>
        <w:tabs>
          <w:tab w:val="num" w:pos="4320"/>
        </w:tabs>
        <w:ind w:left="4320" w:hanging="360"/>
      </w:pPr>
      <w:rPr>
        <w:rFonts w:ascii="Times New Roman" w:hAnsi="Times New Roman" w:hint="default"/>
      </w:rPr>
    </w:lvl>
    <w:lvl w:ilvl="6" w:tplc="9AA2A158" w:tentative="1">
      <w:start w:val="1"/>
      <w:numFmt w:val="bullet"/>
      <w:lvlText w:val="•"/>
      <w:lvlJc w:val="left"/>
      <w:pPr>
        <w:tabs>
          <w:tab w:val="num" w:pos="5040"/>
        </w:tabs>
        <w:ind w:left="5040" w:hanging="360"/>
      </w:pPr>
      <w:rPr>
        <w:rFonts w:ascii="Times New Roman" w:hAnsi="Times New Roman" w:hint="default"/>
      </w:rPr>
    </w:lvl>
    <w:lvl w:ilvl="7" w:tplc="23FA88F8" w:tentative="1">
      <w:start w:val="1"/>
      <w:numFmt w:val="bullet"/>
      <w:lvlText w:val="•"/>
      <w:lvlJc w:val="left"/>
      <w:pPr>
        <w:tabs>
          <w:tab w:val="num" w:pos="5760"/>
        </w:tabs>
        <w:ind w:left="5760" w:hanging="360"/>
      </w:pPr>
      <w:rPr>
        <w:rFonts w:ascii="Times New Roman" w:hAnsi="Times New Roman" w:hint="default"/>
      </w:rPr>
    </w:lvl>
    <w:lvl w:ilvl="8" w:tplc="0848FB8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A34A63"/>
    <w:multiLevelType w:val="hybridMultilevel"/>
    <w:tmpl w:val="E2706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4B2EF7"/>
    <w:multiLevelType w:val="hybridMultilevel"/>
    <w:tmpl w:val="2098C6D4"/>
    <w:lvl w:ilvl="0" w:tplc="5D50481E">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4556238"/>
    <w:multiLevelType w:val="hybridMultilevel"/>
    <w:tmpl w:val="9034A1F2"/>
    <w:lvl w:ilvl="0" w:tplc="04090011">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34A90488"/>
    <w:multiLevelType w:val="hybridMultilevel"/>
    <w:tmpl w:val="DD48CF24"/>
    <w:lvl w:ilvl="0" w:tplc="51A69C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222296"/>
    <w:multiLevelType w:val="hybridMultilevel"/>
    <w:tmpl w:val="F8D832E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3F772B"/>
    <w:multiLevelType w:val="hybridMultilevel"/>
    <w:tmpl w:val="952EA1B8"/>
    <w:lvl w:ilvl="0" w:tplc="04090001">
      <w:start w:val="1"/>
      <w:numFmt w:val="bullet"/>
      <w:lvlText w:val=""/>
      <w:lvlJc w:val="left"/>
      <w:pPr>
        <w:tabs>
          <w:tab w:val="num" w:pos="1440"/>
        </w:tabs>
        <w:ind w:left="1440" w:hanging="360"/>
      </w:pPr>
      <w:rPr>
        <w:rFonts w:ascii="Symbol" w:hAnsi="Symbol" w:hint="default"/>
      </w:rPr>
    </w:lvl>
    <w:lvl w:ilvl="1" w:tplc="80468D1E">
      <w:start w:val="1"/>
      <w:numFmt w:val="bullet"/>
      <w:lvlText w:val="o"/>
      <w:lvlJc w:val="left"/>
      <w:pPr>
        <w:tabs>
          <w:tab w:val="num" w:pos="2160"/>
        </w:tabs>
        <w:ind w:left="2160" w:hanging="360"/>
      </w:pPr>
      <w:rPr>
        <w:rFonts w:ascii="Courier New" w:hAnsi="Courier New" w:cs="Courier New"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86B2E80"/>
    <w:multiLevelType w:val="hybridMultilevel"/>
    <w:tmpl w:val="4A786484"/>
    <w:lvl w:ilvl="0" w:tplc="96A6F10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nsid w:val="3BB01B43"/>
    <w:multiLevelType w:val="hybridMultilevel"/>
    <w:tmpl w:val="B8320950"/>
    <w:lvl w:ilvl="0" w:tplc="152C79BC">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B25CA4"/>
    <w:multiLevelType w:val="hybridMultilevel"/>
    <w:tmpl w:val="45264196"/>
    <w:lvl w:ilvl="0" w:tplc="0C2E9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496EF0"/>
    <w:multiLevelType w:val="hybridMultilevel"/>
    <w:tmpl w:val="70C84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0C1688"/>
    <w:multiLevelType w:val="hybridMultilevel"/>
    <w:tmpl w:val="45264196"/>
    <w:lvl w:ilvl="0" w:tplc="0C2E9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115CB4"/>
    <w:multiLevelType w:val="hybridMultilevel"/>
    <w:tmpl w:val="438485EC"/>
    <w:lvl w:ilvl="0" w:tplc="1E540688">
      <w:start w:val="1"/>
      <w:numFmt w:val="bullet"/>
      <w:lvlText w:val="•"/>
      <w:lvlJc w:val="left"/>
      <w:pPr>
        <w:tabs>
          <w:tab w:val="num" w:pos="720"/>
        </w:tabs>
        <w:ind w:left="720" w:hanging="360"/>
      </w:pPr>
      <w:rPr>
        <w:rFonts w:ascii="Times New Roman" w:hAnsi="Times New Roman" w:hint="default"/>
      </w:rPr>
    </w:lvl>
    <w:lvl w:ilvl="1" w:tplc="CF2422FC">
      <w:start w:val="168"/>
      <w:numFmt w:val="bullet"/>
      <w:lvlText w:val="–"/>
      <w:lvlJc w:val="left"/>
      <w:pPr>
        <w:tabs>
          <w:tab w:val="num" w:pos="1440"/>
        </w:tabs>
        <w:ind w:left="1440" w:hanging="360"/>
      </w:pPr>
      <w:rPr>
        <w:rFonts w:ascii="Times New Roman" w:hAnsi="Times New Roman" w:hint="default"/>
      </w:rPr>
    </w:lvl>
    <w:lvl w:ilvl="2" w:tplc="6AE2D964" w:tentative="1">
      <w:start w:val="1"/>
      <w:numFmt w:val="bullet"/>
      <w:lvlText w:val="•"/>
      <w:lvlJc w:val="left"/>
      <w:pPr>
        <w:tabs>
          <w:tab w:val="num" w:pos="2160"/>
        </w:tabs>
        <w:ind w:left="2160" w:hanging="360"/>
      </w:pPr>
      <w:rPr>
        <w:rFonts w:ascii="Times New Roman" w:hAnsi="Times New Roman" w:hint="default"/>
      </w:rPr>
    </w:lvl>
    <w:lvl w:ilvl="3" w:tplc="5D12CE86" w:tentative="1">
      <w:start w:val="1"/>
      <w:numFmt w:val="bullet"/>
      <w:lvlText w:val="•"/>
      <w:lvlJc w:val="left"/>
      <w:pPr>
        <w:tabs>
          <w:tab w:val="num" w:pos="2880"/>
        </w:tabs>
        <w:ind w:left="2880" w:hanging="360"/>
      </w:pPr>
      <w:rPr>
        <w:rFonts w:ascii="Times New Roman" w:hAnsi="Times New Roman" w:hint="default"/>
      </w:rPr>
    </w:lvl>
    <w:lvl w:ilvl="4" w:tplc="921E1036" w:tentative="1">
      <w:start w:val="1"/>
      <w:numFmt w:val="bullet"/>
      <w:lvlText w:val="•"/>
      <w:lvlJc w:val="left"/>
      <w:pPr>
        <w:tabs>
          <w:tab w:val="num" w:pos="3600"/>
        </w:tabs>
        <w:ind w:left="3600" w:hanging="360"/>
      </w:pPr>
      <w:rPr>
        <w:rFonts w:ascii="Times New Roman" w:hAnsi="Times New Roman" w:hint="default"/>
      </w:rPr>
    </w:lvl>
    <w:lvl w:ilvl="5" w:tplc="3C2A96BE" w:tentative="1">
      <w:start w:val="1"/>
      <w:numFmt w:val="bullet"/>
      <w:lvlText w:val="•"/>
      <w:lvlJc w:val="left"/>
      <w:pPr>
        <w:tabs>
          <w:tab w:val="num" w:pos="4320"/>
        </w:tabs>
        <w:ind w:left="4320" w:hanging="360"/>
      </w:pPr>
      <w:rPr>
        <w:rFonts w:ascii="Times New Roman" w:hAnsi="Times New Roman" w:hint="default"/>
      </w:rPr>
    </w:lvl>
    <w:lvl w:ilvl="6" w:tplc="8410D3A8" w:tentative="1">
      <w:start w:val="1"/>
      <w:numFmt w:val="bullet"/>
      <w:lvlText w:val="•"/>
      <w:lvlJc w:val="left"/>
      <w:pPr>
        <w:tabs>
          <w:tab w:val="num" w:pos="5040"/>
        </w:tabs>
        <w:ind w:left="5040" w:hanging="360"/>
      </w:pPr>
      <w:rPr>
        <w:rFonts w:ascii="Times New Roman" w:hAnsi="Times New Roman" w:hint="default"/>
      </w:rPr>
    </w:lvl>
    <w:lvl w:ilvl="7" w:tplc="70C80126" w:tentative="1">
      <w:start w:val="1"/>
      <w:numFmt w:val="bullet"/>
      <w:lvlText w:val="•"/>
      <w:lvlJc w:val="left"/>
      <w:pPr>
        <w:tabs>
          <w:tab w:val="num" w:pos="5760"/>
        </w:tabs>
        <w:ind w:left="5760" w:hanging="360"/>
      </w:pPr>
      <w:rPr>
        <w:rFonts w:ascii="Times New Roman" w:hAnsi="Times New Roman" w:hint="default"/>
      </w:rPr>
    </w:lvl>
    <w:lvl w:ilvl="8" w:tplc="8702F12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67505E8"/>
    <w:multiLevelType w:val="hybridMultilevel"/>
    <w:tmpl w:val="82381C8E"/>
    <w:lvl w:ilvl="0" w:tplc="DD742ED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2F5332"/>
    <w:multiLevelType w:val="hybridMultilevel"/>
    <w:tmpl w:val="E4B0F824"/>
    <w:lvl w:ilvl="0" w:tplc="4A2CF9E8">
      <w:start w:val="1"/>
      <w:numFmt w:val="bullet"/>
      <w:lvlText w:val="•"/>
      <w:lvlJc w:val="left"/>
      <w:pPr>
        <w:tabs>
          <w:tab w:val="num" w:pos="720"/>
        </w:tabs>
        <w:ind w:left="720" w:hanging="360"/>
      </w:pPr>
      <w:rPr>
        <w:rFonts w:ascii="Times New Roman" w:hAnsi="Times New Roman" w:hint="default"/>
      </w:rPr>
    </w:lvl>
    <w:lvl w:ilvl="1" w:tplc="ED44E776" w:tentative="1">
      <w:start w:val="1"/>
      <w:numFmt w:val="bullet"/>
      <w:lvlText w:val="•"/>
      <w:lvlJc w:val="left"/>
      <w:pPr>
        <w:tabs>
          <w:tab w:val="num" w:pos="1440"/>
        </w:tabs>
        <w:ind w:left="1440" w:hanging="360"/>
      </w:pPr>
      <w:rPr>
        <w:rFonts w:ascii="Times New Roman" w:hAnsi="Times New Roman" w:hint="default"/>
      </w:rPr>
    </w:lvl>
    <w:lvl w:ilvl="2" w:tplc="3EC0B10A" w:tentative="1">
      <w:start w:val="1"/>
      <w:numFmt w:val="bullet"/>
      <w:lvlText w:val="•"/>
      <w:lvlJc w:val="left"/>
      <w:pPr>
        <w:tabs>
          <w:tab w:val="num" w:pos="2160"/>
        </w:tabs>
        <w:ind w:left="2160" w:hanging="360"/>
      </w:pPr>
      <w:rPr>
        <w:rFonts w:ascii="Times New Roman" w:hAnsi="Times New Roman" w:hint="default"/>
      </w:rPr>
    </w:lvl>
    <w:lvl w:ilvl="3" w:tplc="710C6558" w:tentative="1">
      <w:start w:val="1"/>
      <w:numFmt w:val="bullet"/>
      <w:lvlText w:val="•"/>
      <w:lvlJc w:val="left"/>
      <w:pPr>
        <w:tabs>
          <w:tab w:val="num" w:pos="2880"/>
        </w:tabs>
        <w:ind w:left="2880" w:hanging="360"/>
      </w:pPr>
      <w:rPr>
        <w:rFonts w:ascii="Times New Roman" w:hAnsi="Times New Roman" w:hint="default"/>
      </w:rPr>
    </w:lvl>
    <w:lvl w:ilvl="4" w:tplc="771C09C0" w:tentative="1">
      <w:start w:val="1"/>
      <w:numFmt w:val="bullet"/>
      <w:lvlText w:val="•"/>
      <w:lvlJc w:val="left"/>
      <w:pPr>
        <w:tabs>
          <w:tab w:val="num" w:pos="3600"/>
        </w:tabs>
        <w:ind w:left="3600" w:hanging="360"/>
      </w:pPr>
      <w:rPr>
        <w:rFonts w:ascii="Times New Roman" w:hAnsi="Times New Roman" w:hint="default"/>
      </w:rPr>
    </w:lvl>
    <w:lvl w:ilvl="5" w:tplc="8F427DBA" w:tentative="1">
      <w:start w:val="1"/>
      <w:numFmt w:val="bullet"/>
      <w:lvlText w:val="•"/>
      <w:lvlJc w:val="left"/>
      <w:pPr>
        <w:tabs>
          <w:tab w:val="num" w:pos="4320"/>
        </w:tabs>
        <w:ind w:left="4320" w:hanging="360"/>
      </w:pPr>
      <w:rPr>
        <w:rFonts w:ascii="Times New Roman" w:hAnsi="Times New Roman" w:hint="default"/>
      </w:rPr>
    </w:lvl>
    <w:lvl w:ilvl="6" w:tplc="D42EA9E0" w:tentative="1">
      <w:start w:val="1"/>
      <w:numFmt w:val="bullet"/>
      <w:lvlText w:val="•"/>
      <w:lvlJc w:val="left"/>
      <w:pPr>
        <w:tabs>
          <w:tab w:val="num" w:pos="5040"/>
        </w:tabs>
        <w:ind w:left="5040" w:hanging="360"/>
      </w:pPr>
      <w:rPr>
        <w:rFonts w:ascii="Times New Roman" w:hAnsi="Times New Roman" w:hint="default"/>
      </w:rPr>
    </w:lvl>
    <w:lvl w:ilvl="7" w:tplc="9356AD04" w:tentative="1">
      <w:start w:val="1"/>
      <w:numFmt w:val="bullet"/>
      <w:lvlText w:val="•"/>
      <w:lvlJc w:val="left"/>
      <w:pPr>
        <w:tabs>
          <w:tab w:val="num" w:pos="5760"/>
        </w:tabs>
        <w:ind w:left="5760" w:hanging="360"/>
      </w:pPr>
      <w:rPr>
        <w:rFonts w:ascii="Times New Roman" w:hAnsi="Times New Roman" w:hint="default"/>
      </w:rPr>
    </w:lvl>
    <w:lvl w:ilvl="8" w:tplc="E4460FF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E984684"/>
    <w:multiLevelType w:val="hybridMultilevel"/>
    <w:tmpl w:val="CDA84730"/>
    <w:lvl w:ilvl="0" w:tplc="8E1C7082">
      <w:start w:val="1"/>
      <w:numFmt w:val="bullet"/>
      <w:lvlText w:val="•"/>
      <w:lvlJc w:val="left"/>
      <w:pPr>
        <w:tabs>
          <w:tab w:val="num" w:pos="720"/>
        </w:tabs>
        <w:ind w:left="720" w:hanging="360"/>
      </w:pPr>
      <w:rPr>
        <w:rFonts w:ascii="Times New Roman" w:hAnsi="Times New Roman" w:hint="default"/>
      </w:rPr>
    </w:lvl>
    <w:lvl w:ilvl="1" w:tplc="89C01CE8">
      <w:start w:val="168"/>
      <w:numFmt w:val="bullet"/>
      <w:lvlText w:val="–"/>
      <w:lvlJc w:val="left"/>
      <w:pPr>
        <w:tabs>
          <w:tab w:val="num" w:pos="1440"/>
        </w:tabs>
        <w:ind w:left="1440" w:hanging="360"/>
      </w:pPr>
      <w:rPr>
        <w:rFonts w:ascii="Times New Roman" w:hAnsi="Times New Roman" w:hint="default"/>
      </w:rPr>
    </w:lvl>
    <w:lvl w:ilvl="2" w:tplc="68EA32A8" w:tentative="1">
      <w:start w:val="1"/>
      <w:numFmt w:val="bullet"/>
      <w:lvlText w:val="•"/>
      <w:lvlJc w:val="left"/>
      <w:pPr>
        <w:tabs>
          <w:tab w:val="num" w:pos="2160"/>
        </w:tabs>
        <w:ind w:left="2160" w:hanging="360"/>
      </w:pPr>
      <w:rPr>
        <w:rFonts w:ascii="Times New Roman" w:hAnsi="Times New Roman" w:hint="default"/>
      </w:rPr>
    </w:lvl>
    <w:lvl w:ilvl="3" w:tplc="BC1609C6" w:tentative="1">
      <w:start w:val="1"/>
      <w:numFmt w:val="bullet"/>
      <w:lvlText w:val="•"/>
      <w:lvlJc w:val="left"/>
      <w:pPr>
        <w:tabs>
          <w:tab w:val="num" w:pos="2880"/>
        </w:tabs>
        <w:ind w:left="2880" w:hanging="360"/>
      </w:pPr>
      <w:rPr>
        <w:rFonts w:ascii="Times New Roman" w:hAnsi="Times New Roman" w:hint="default"/>
      </w:rPr>
    </w:lvl>
    <w:lvl w:ilvl="4" w:tplc="3392D408" w:tentative="1">
      <w:start w:val="1"/>
      <w:numFmt w:val="bullet"/>
      <w:lvlText w:val="•"/>
      <w:lvlJc w:val="left"/>
      <w:pPr>
        <w:tabs>
          <w:tab w:val="num" w:pos="3600"/>
        </w:tabs>
        <w:ind w:left="3600" w:hanging="360"/>
      </w:pPr>
      <w:rPr>
        <w:rFonts w:ascii="Times New Roman" w:hAnsi="Times New Roman" w:hint="default"/>
      </w:rPr>
    </w:lvl>
    <w:lvl w:ilvl="5" w:tplc="BDCA67FC" w:tentative="1">
      <w:start w:val="1"/>
      <w:numFmt w:val="bullet"/>
      <w:lvlText w:val="•"/>
      <w:lvlJc w:val="left"/>
      <w:pPr>
        <w:tabs>
          <w:tab w:val="num" w:pos="4320"/>
        </w:tabs>
        <w:ind w:left="4320" w:hanging="360"/>
      </w:pPr>
      <w:rPr>
        <w:rFonts w:ascii="Times New Roman" w:hAnsi="Times New Roman" w:hint="default"/>
      </w:rPr>
    </w:lvl>
    <w:lvl w:ilvl="6" w:tplc="ABD2268E" w:tentative="1">
      <w:start w:val="1"/>
      <w:numFmt w:val="bullet"/>
      <w:lvlText w:val="•"/>
      <w:lvlJc w:val="left"/>
      <w:pPr>
        <w:tabs>
          <w:tab w:val="num" w:pos="5040"/>
        </w:tabs>
        <w:ind w:left="5040" w:hanging="360"/>
      </w:pPr>
      <w:rPr>
        <w:rFonts w:ascii="Times New Roman" w:hAnsi="Times New Roman" w:hint="default"/>
      </w:rPr>
    </w:lvl>
    <w:lvl w:ilvl="7" w:tplc="5852C7FC" w:tentative="1">
      <w:start w:val="1"/>
      <w:numFmt w:val="bullet"/>
      <w:lvlText w:val="•"/>
      <w:lvlJc w:val="left"/>
      <w:pPr>
        <w:tabs>
          <w:tab w:val="num" w:pos="5760"/>
        </w:tabs>
        <w:ind w:left="5760" w:hanging="360"/>
      </w:pPr>
      <w:rPr>
        <w:rFonts w:ascii="Times New Roman" w:hAnsi="Times New Roman" w:hint="default"/>
      </w:rPr>
    </w:lvl>
    <w:lvl w:ilvl="8" w:tplc="917CD6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0ED363A"/>
    <w:multiLevelType w:val="hybridMultilevel"/>
    <w:tmpl w:val="26F62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0E3037"/>
    <w:multiLevelType w:val="hybridMultilevel"/>
    <w:tmpl w:val="B54CBDAC"/>
    <w:lvl w:ilvl="0" w:tplc="FFA2B5C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575AF1"/>
    <w:multiLevelType w:val="hybridMultilevel"/>
    <w:tmpl w:val="543C0A60"/>
    <w:lvl w:ilvl="0" w:tplc="3F0C181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668C4D72"/>
    <w:multiLevelType w:val="hybridMultilevel"/>
    <w:tmpl w:val="F6FCC4C0"/>
    <w:lvl w:ilvl="0" w:tplc="6EA8A79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6C2175CF"/>
    <w:multiLevelType w:val="hybridMultilevel"/>
    <w:tmpl w:val="8486B08A"/>
    <w:lvl w:ilvl="0" w:tplc="E7D8F362">
      <w:start w:val="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nsid w:val="6C9029F8"/>
    <w:multiLevelType w:val="hybridMultilevel"/>
    <w:tmpl w:val="B4BAF988"/>
    <w:lvl w:ilvl="0" w:tplc="04090003">
      <w:start w:val="1"/>
      <w:numFmt w:val="bullet"/>
      <w:lvlText w:val="o"/>
      <w:lvlJc w:val="left"/>
      <w:pPr>
        <w:tabs>
          <w:tab w:val="num" w:pos="2520"/>
        </w:tabs>
        <w:ind w:left="2520" w:hanging="360"/>
      </w:pPr>
      <w:rPr>
        <w:rFonts w:ascii="Courier New" w:hAnsi="Courier New" w:cs="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1">
    <w:nsid w:val="6EB5622E"/>
    <w:multiLevelType w:val="hybridMultilevel"/>
    <w:tmpl w:val="93F473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5132D47"/>
    <w:multiLevelType w:val="hybridMultilevel"/>
    <w:tmpl w:val="54B88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8E259AC"/>
    <w:multiLevelType w:val="hybridMultilevel"/>
    <w:tmpl w:val="2056F8F8"/>
    <w:lvl w:ilvl="0" w:tplc="7AF0D9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8656EA"/>
    <w:multiLevelType w:val="hybridMultilevel"/>
    <w:tmpl w:val="489E4F0C"/>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9"/>
  </w:num>
  <w:num w:numId="3">
    <w:abstractNumId w:val="10"/>
  </w:num>
  <w:num w:numId="4">
    <w:abstractNumId w:val="8"/>
  </w:num>
  <w:num w:numId="5">
    <w:abstractNumId w:val="15"/>
  </w:num>
  <w:num w:numId="6">
    <w:abstractNumId w:val="5"/>
  </w:num>
  <w:num w:numId="7">
    <w:abstractNumId w:val="11"/>
  </w:num>
  <w:num w:numId="8">
    <w:abstractNumId w:val="31"/>
  </w:num>
  <w:num w:numId="9">
    <w:abstractNumId w:val="22"/>
  </w:num>
  <w:num w:numId="10">
    <w:abstractNumId w:val="6"/>
  </w:num>
  <w:num w:numId="11">
    <w:abstractNumId w:val="12"/>
  </w:num>
  <w:num w:numId="12">
    <w:abstractNumId w:val="32"/>
  </w:num>
  <w:num w:numId="13">
    <w:abstractNumId w:val="28"/>
  </w:num>
  <w:num w:numId="14">
    <w:abstractNumId w:val="27"/>
  </w:num>
  <w:num w:numId="15">
    <w:abstractNumId w:val="16"/>
  </w:num>
  <w:num w:numId="16">
    <w:abstractNumId w:val="30"/>
  </w:num>
  <w:num w:numId="17">
    <w:abstractNumId w:val="14"/>
  </w:num>
  <w:num w:numId="18">
    <w:abstractNumId w:val="34"/>
  </w:num>
  <w:num w:numId="19">
    <w:abstractNumId w:val="24"/>
  </w:num>
  <w:num w:numId="20">
    <w:abstractNumId w:val="9"/>
  </w:num>
  <w:num w:numId="21">
    <w:abstractNumId w:val="21"/>
  </w:num>
  <w:num w:numId="22">
    <w:abstractNumId w:val="23"/>
  </w:num>
  <w:num w:numId="23">
    <w:abstractNumId w:val="29"/>
  </w:num>
  <w:num w:numId="24">
    <w:abstractNumId w:val="26"/>
  </w:num>
  <w:num w:numId="25">
    <w:abstractNumId w:val="18"/>
  </w:num>
  <w:num w:numId="26">
    <w:abstractNumId w:val="3"/>
  </w:num>
  <w:num w:numId="27">
    <w:abstractNumId w:val="25"/>
  </w:num>
  <w:num w:numId="28">
    <w:abstractNumId w:val="4"/>
  </w:num>
  <w:num w:numId="29">
    <w:abstractNumId w:val="17"/>
  </w:num>
  <w:num w:numId="30">
    <w:abstractNumId w:val="7"/>
  </w:num>
  <w:num w:numId="31">
    <w:abstractNumId w:val="13"/>
  </w:num>
  <w:num w:numId="32">
    <w:abstractNumId w:val="2"/>
  </w:num>
  <w:num w:numId="33">
    <w:abstractNumId w:val="1"/>
  </w:num>
  <w:num w:numId="34">
    <w:abstractNumId w:val="33"/>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B47639"/>
    <w:rsid w:val="00007C80"/>
    <w:rsid w:val="000160B2"/>
    <w:rsid w:val="00021FA8"/>
    <w:rsid w:val="00027C16"/>
    <w:rsid w:val="00031B14"/>
    <w:rsid w:val="00034243"/>
    <w:rsid w:val="000377A7"/>
    <w:rsid w:val="00040F4A"/>
    <w:rsid w:val="000416A8"/>
    <w:rsid w:val="00042086"/>
    <w:rsid w:val="00053C4B"/>
    <w:rsid w:val="000569DC"/>
    <w:rsid w:val="00056A69"/>
    <w:rsid w:val="00057E3D"/>
    <w:rsid w:val="00057F22"/>
    <w:rsid w:val="00060808"/>
    <w:rsid w:val="00061F04"/>
    <w:rsid w:val="00063F2D"/>
    <w:rsid w:val="000651FC"/>
    <w:rsid w:val="0006690F"/>
    <w:rsid w:val="00072C8C"/>
    <w:rsid w:val="00080958"/>
    <w:rsid w:val="00080D08"/>
    <w:rsid w:val="00086104"/>
    <w:rsid w:val="00091A30"/>
    <w:rsid w:val="000A5270"/>
    <w:rsid w:val="000B0376"/>
    <w:rsid w:val="000B1F84"/>
    <w:rsid w:val="000B578F"/>
    <w:rsid w:val="000B5A9D"/>
    <w:rsid w:val="000C26F7"/>
    <w:rsid w:val="000C50FC"/>
    <w:rsid w:val="000C5C42"/>
    <w:rsid w:val="000C655D"/>
    <w:rsid w:val="000C7826"/>
    <w:rsid w:val="000C7B0C"/>
    <w:rsid w:val="000D08E9"/>
    <w:rsid w:val="000D11C6"/>
    <w:rsid w:val="000D180C"/>
    <w:rsid w:val="000D2741"/>
    <w:rsid w:val="000D3C34"/>
    <w:rsid w:val="000D69DF"/>
    <w:rsid w:val="000E029E"/>
    <w:rsid w:val="000E138E"/>
    <w:rsid w:val="000E54AA"/>
    <w:rsid w:val="000F4112"/>
    <w:rsid w:val="000F51D1"/>
    <w:rsid w:val="00100791"/>
    <w:rsid w:val="001046FF"/>
    <w:rsid w:val="00105C42"/>
    <w:rsid w:val="00111195"/>
    <w:rsid w:val="00114C47"/>
    <w:rsid w:val="00115757"/>
    <w:rsid w:val="001174F1"/>
    <w:rsid w:val="00123156"/>
    <w:rsid w:val="001257F7"/>
    <w:rsid w:val="001300E8"/>
    <w:rsid w:val="0013271F"/>
    <w:rsid w:val="00132E6C"/>
    <w:rsid w:val="00140559"/>
    <w:rsid w:val="001414A3"/>
    <w:rsid w:val="001427B9"/>
    <w:rsid w:val="00144F25"/>
    <w:rsid w:val="00152850"/>
    <w:rsid w:val="00157D46"/>
    <w:rsid w:val="00157D6C"/>
    <w:rsid w:val="00160759"/>
    <w:rsid w:val="00161774"/>
    <w:rsid w:val="001633A8"/>
    <w:rsid w:val="00164BF7"/>
    <w:rsid w:val="0016647D"/>
    <w:rsid w:val="001665F2"/>
    <w:rsid w:val="00166B69"/>
    <w:rsid w:val="00171545"/>
    <w:rsid w:val="00172DA3"/>
    <w:rsid w:val="00176696"/>
    <w:rsid w:val="00176E69"/>
    <w:rsid w:val="0017774E"/>
    <w:rsid w:val="00184799"/>
    <w:rsid w:val="00184882"/>
    <w:rsid w:val="00190295"/>
    <w:rsid w:val="00197E99"/>
    <w:rsid w:val="001A7D04"/>
    <w:rsid w:val="001B0031"/>
    <w:rsid w:val="001B23D1"/>
    <w:rsid w:val="001B45C4"/>
    <w:rsid w:val="001B55CC"/>
    <w:rsid w:val="001B5D28"/>
    <w:rsid w:val="001B5FFE"/>
    <w:rsid w:val="001B65A9"/>
    <w:rsid w:val="001C201E"/>
    <w:rsid w:val="001C4B48"/>
    <w:rsid w:val="001D0302"/>
    <w:rsid w:val="001D1384"/>
    <w:rsid w:val="001D1C0F"/>
    <w:rsid w:val="001D1C4A"/>
    <w:rsid w:val="001D2F8A"/>
    <w:rsid w:val="001D54AC"/>
    <w:rsid w:val="001D555E"/>
    <w:rsid w:val="001D58EC"/>
    <w:rsid w:val="001D7A7B"/>
    <w:rsid w:val="001E4738"/>
    <w:rsid w:val="001E494B"/>
    <w:rsid w:val="001F3CE9"/>
    <w:rsid w:val="001F42A7"/>
    <w:rsid w:val="001F4968"/>
    <w:rsid w:val="002004D0"/>
    <w:rsid w:val="002005B0"/>
    <w:rsid w:val="0020094A"/>
    <w:rsid w:val="00201E3C"/>
    <w:rsid w:val="00201F51"/>
    <w:rsid w:val="002050CE"/>
    <w:rsid w:val="00205859"/>
    <w:rsid w:val="00210DA7"/>
    <w:rsid w:val="0022500C"/>
    <w:rsid w:val="00227B3A"/>
    <w:rsid w:val="00231F9F"/>
    <w:rsid w:val="002346CA"/>
    <w:rsid w:val="002375DF"/>
    <w:rsid w:val="002422D4"/>
    <w:rsid w:val="00245D4D"/>
    <w:rsid w:val="002502EF"/>
    <w:rsid w:val="00251793"/>
    <w:rsid w:val="00251E61"/>
    <w:rsid w:val="00252057"/>
    <w:rsid w:val="00252941"/>
    <w:rsid w:val="00253909"/>
    <w:rsid w:val="00253910"/>
    <w:rsid w:val="00253E72"/>
    <w:rsid w:val="00254F05"/>
    <w:rsid w:val="00256810"/>
    <w:rsid w:val="00257AA2"/>
    <w:rsid w:val="002649B9"/>
    <w:rsid w:val="0026767E"/>
    <w:rsid w:val="002732F3"/>
    <w:rsid w:val="002775AC"/>
    <w:rsid w:val="002830E1"/>
    <w:rsid w:val="0028620D"/>
    <w:rsid w:val="0029218E"/>
    <w:rsid w:val="00292872"/>
    <w:rsid w:val="00293992"/>
    <w:rsid w:val="002962A9"/>
    <w:rsid w:val="002A1224"/>
    <w:rsid w:val="002B21F7"/>
    <w:rsid w:val="002B221D"/>
    <w:rsid w:val="002B6FCB"/>
    <w:rsid w:val="002B7B89"/>
    <w:rsid w:val="002C048D"/>
    <w:rsid w:val="002C268B"/>
    <w:rsid w:val="002C2FE3"/>
    <w:rsid w:val="002C5E1B"/>
    <w:rsid w:val="002C65D0"/>
    <w:rsid w:val="002D0960"/>
    <w:rsid w:val="002D0D2F"/>
    <w:rsid w:val="002D4793"/>
    <w:rsid w:val="002D648A"/>
    <w:rsid w:val="002D6DDF"/>
    <w:rsid w:val="002D72B0"/>
    <w:rsid w:val="002F0766"/>
    <w:rsid w:val="002F1C63"/>
    <w:rsid w:val="002F2E87"/>
    <w:rsid w:val="002F4519"/>
    <w:rsid w:val="002F6038"/>
    <w:rsid w:val="0031088B"/>
    <w:rsid w:val="00310F0C"/>
    <w:rsid w:val="003138D2"/>
    <w:rsid w:val="00313E2D"/>
    <w:rsid w:val="00320326"/>
    <w:rsid w:val="00320C20"/>
    <w:rsid w:val="00325352"/>
    <w:rsid w:val="00326305"/>
    <w:rsid w:val="00330555"/>
    <w:rsid w:val="00330DA8"/>
    <w:rsid w:val="00331937"/>
    <w:rsid w:val="003377C0"/>
    <w:rsid w:val="00341CFC"/>
    <w:rsid w:val="003438CA"/>
    <w:rsid w:val="00344B03"/>
    <w:rsid w:val="00345971"/>
    <w:rsid w:val="00346A6C"/>
    <w:rsid w:val="003516F2"/>
    <w:rsid w:val="00351760"/>
    <w:rsid w:val="00351CEE"/>
    <w:rsid w:val="00354E54"/>
    <w:rsid w:val="00357128"/>
    <w:rsid w:val="0035783F"/>
    <w:rsid w:val="00361606"/>
    <w:rsid w:val="00363CBC"/>
    <w:rsid w:val="00367082"/>
    <w:rsid w:val="00371D26"/>
    <w:rsid w:val="00375760"/>
    <w:rsid w:val="003765DA"/>
    <w:rsid w:val="00381F55"/>
    <w:rsid w:val="003952B2"/>
    <w:rsid w:val="00396000"/>
    <w:rsid w:val="00396473"/>
    <w:rsid w:val="003968F0"/>
    <w:rsid w:val="003A22E8"/>
    <w:rsid w:val="003A278D"/>
    <w:rsid w:val="003A35C4"/>
    <w:rsid w:val="003A39C9"/>
    <w:rsid w:val="003B083C"/>
    <w:rsid w:val="003B4164"/>
    <w:rsid w:val="003B5EB1"/>
    <w:rsid w:val="003B6DF7"/>
    <w:rsid w:val="003B760D"/>
    <w:rsid w:val="003C0342"/>
    <w:rsid w:val="003C03BD"/>
    <w:rsid w:val="003C3AB8"/>
    <w:rsid w:val="003C44A7"/>
    <w:rsid w:val="003C4B1C"/>
    <w:rsid w:val="003C6BA2"/>
    <w:rsid w:val="003D4AB5"/>
    <w:rsid w:val="003E2A5B"/>
    <w:rsid w:val="003E42D2"/>
    <w:rsid w:val="003F2862"/>
    <w:rsid w:val="003F5A83"/>
    <w:rsid w:val="004009CB"/>
    <w:rsid w:val="00404534"/>
    <w:rsid w:val="00406DF0"/>
    <w:rsid w:val="004071CD"/>
    <w:rsid w:val="00414253"/>
    <w:rsid w:val="00414F28"/>
    <w:rsid w:val="00415640"/>
    <w:rsid w:val="00424AE3"/>
    <w:rsid w:val="004310B8"/>
    <w:rsid w:val="0043449E"/>
    <w:rsid w:val="004345D6"/>
    <w:rsid w:val="004358B7"/>
    <w:rsid w:val="004359FE"/>
    <w:rsid w:val="00440368"/>
    <w:rsid w:val="0044230F"/>
    <w:rsid w:val="0044405B"/>
    <w:rsid w:val="0045197C"/>
    <w:rsid w:val="00451B1B"/>
    <w:rsid w:val="004613F8"/>
    <w:rsid w:val="004641C7"/>
    <w:rsid w:val="00464C25"/>
    <w:rsid w:val="00476150"/>
    <w:rsid w:val="004805AA"/>
    <w:rsid w:val="00484AC6"/>
    <w:rsid w:val="00485EED"/>
    <w:rsid w:val="00486A03"/>
    <w:rsid w:val="0049073C"/>
    <w:rsid w:val="004929C7"/>
    <w:rsid w:val="004936D2"/>
    <w:rsid w:val="00493929"/>
    <w:rsid w:val="004A4C2F"/>
    <w:rsid w:val="004A4DB3"/>
    <w:rsid w:val="004A4EA1"/>
    <w:rsid w:val="004A7541"/>
    <w:rsid w:val="004A7761"/>
    <w:rsid w:val="004B5CA4"/>
    <w:rsid w:val="004C08AE"/>
    <w:rsid w:val="004C3062"/>
    <w:rsid w:val="004C4C6D"/>
    <w:rsid w:val="004C6A60"/>
    <w:rsid w:val="004C7535"/>
    <w:rsid w:val="004D1C1F"/>
    <w:rsid w:val="004D2864"/>
    <w:rsid w:val="004D7B35"/>
    <w:rsid w:val="004E03B9"/>
    <w:rsid w:val="004E3F8F"/>
    <w:rsid w:val="004E5B95"/>
    <w:rsid w:val="004E5EF0"/>
    <w:rsid w:val="004E6122"/>
    <w:rsid w:val="004E7BD8"/>
    <w:rsid w:val="004F21D0"/>
    <w:rsid w:val="004F21D6"/>
    <w:rsid w:val="004F66FF"/>
    <w:rsid w:val="00502614"/>
    <w:rsid w:val="00507882"/>
    <w:rsid w:val="00510177"/>
    <w:rsid w:val="00512516"/>
    <w:rsid w:val="005178DB"/>
    <w:rsid w:val="00517AD9"/>
    <w:rsid w:val="00520FC8"/>
    <w:rsid w:val="00522772"/>
    <w:rsid w:val="00530BA7"/>
    <w:rsid w:val="00531555"/>
    <w:rsid w:val="00535259"/>
    <w:rsid w:val="00536A29"/>
    <w:rsid w:val="00536C0B"/>
    <w:rsid w:val="00537077"/>
    <w:rsid w:val="00541E07"/>
    <w:rsid w:val="005438A3"/>
    <w:rsid w:val="00544524"/>
    <w:rsid w:val="00547B5C"/>
    <w:rsid w:val="00550D00"/>
    <w:rsid w:val="00553D37"/>
    <w:rsid w:val="00555617"/>
    <w:rsid w:val="00560D96"/>
    <w:rsid w:val="00561529"/>
    <w:rsid w:val="005618FE"/>
    <w:rsid w:val="00561C6C"/>
    <w:rsid w:val="00562252"/>
    <w:rsid w:val="005656ED"/>
    <w:rsid w:val="00565795"/>
    <w:rsid w:val="00581984"/>
    <w:rsid w:val="00586FBF"/>
    <w:rsid w:val="00591165"/>
    <w:rsid w:val="00591F63"/>
    <w:rsid w:val="005A071F"/>
    <w:rsid w:val="005A3663"/>
    <w:rsid w:val="005A5575"/>
    <w:rsid w:val="005B3CB8"/>
    <w:rsid w:val="005B470C"/>
    <w:rsid w:val="005B5058"/>
    <w:rsid w:val="005B50B0"/>
    <w:rsid w:val="005C119C"/>
    <w:rsid w:val="005C4871"/>
    <w:rsid w:val="005C50FF"/>
    <w:rsid w:val="005C6641"/>
    <w:rsid w:val="005D2166"/>
    <w:rsid w:val="005D283F"/>
    <w:rsid w:val="005D49F9"/>
    <w:rsid w:val="005E006D"/>
    <w:rsid w:val="005E2AA2"/>
    <w:rsid w:val="005E7E0B"/>
    <w:rsid w:val="00600D8C"/>
    <w:rsid w:val="006048C4"/>
    <w:rsid w:val="00604BE9"/>
    <w:rsid w:val="006056E8"/>
    <w:rsid w:val="00607188"/>
    <w:rsid w:val="00610C3C"/>
    <w:rsid w:val="00612ED1"/>
    <w:rsid w:val="006143E2"/>
    <w:rsid w:val="00614633"/>
    <w:rsid w:val="00614985"/>
    <w:rsid w:val="0061633C"/>
    <w:rsid w:val="00622081"/>
    <w:rsid w:val="006264DD"/>
    <w:rsid w:val="00631A1B"/>
    <w:rsid w:val="006354ED"/>
    <w:rsid w:val="00635F01"/>
    <w:rsid w:val="00636FC7"/>
    <w:rsid w:val="0063792E"/>
    <w:rsid w:val="006416A9"/>
    <w:rsid w:val="00641F29"/>
    <w:rsid w:val="006426A4"/>
    <w:rsid w:val="006473F3"/>
    <w:rsid w:val="00651AEB"/>
    <w:rsid w:val="00652839"/>
    <w:rsid w:val="00654E19"/>
    <w:rsid w:val="00657CB7"/>
    <w:rsid w:val="00660138"/>
    <w:rsid w:val="006637CC"/>
    <w:rsid w:val="00671415"/>
    <w:rsid w:val="00673575"/>
    <w:rsid w:val="00675D59"/>
    <w:rsid w:val="0067731B"/>
    <w:rsid w:val="00685E5F"/>
    <w:rsid w:val="00687336"/>
    <w:rsid w:val="006908BE"/>
    <w:rsid w:val="00693325"/>
    <w:rsid w:val="0069390C"/>
    <w:rsid w:val="0069390E"/>
    <w:rsid w:val="006939DB"/>
    <w:rsid w:val="00693FC5"/>
    <w:rsid w:val="00694871"/>
    <w:rsid w:val="00695FC6"/>
    <w:rsid w:val="00696146"/>
    <w:rsid w:val="0069673B"/>
    <w:rsid w:val="006A22C4"/>
    <w:rsid w:val="006A3111"/>
    <w:rsid w:val="006A473B"/>
    <w:rsid w:val="006A58DC"/>
    <w:rsid w:val="006A6A2E"/>
    <w:rsid w:val="006A7372"/>
    <w:rsid w:val="006A7557"/>
    <w:rsid w:val="006B0135"/>
    <w:rsid w:val="006B2A56"/>
    <w:rsid w:val="006B4518"/>
    <w:rsid w:val="006B6BE8"/>
    <w:rsid w:val="006C12B2"/>
    <w:rsid w:val="006C381A"/>
    <w:rsid w:val="006C385E"/>
    <w:rsid w:val="006C54DE"/>
    <w:rsid w:val="006C6685"/>
    <w:rsid w:val="006D0678"/>
    <w:rsid w:val="006D08A9"/>
    <w:rsid w:val="006D10AA"/>
    <w:rsid w:val="006D1F5A"/>
    <w:rsid w:val="006D5123"/>
    <w:rsid w:val="006D5481"/>
    <w:rsid w:val="006D5F2B"/>
    <w:rsid w:val="006E0C0F"/>
    <w:rsid w:val="006E17F4"/>
    <w:rsid w:val="006E267B"/>
    <w:rsid w:val="006E77F6"/>
    <w:rsid w:val="006F13F4"/>
    <w:rsid w:val="006F18F1"/>
    <w:rsid w:val="006F327C"/>
    <w:rsid w:val="006F3570"/>
    <w:rsid w:val="006F5A47"/>
    <w:rsid w:val="006F5D44"/>
    <w:rsid w:val="006F6627"/>
    <w:rsid w:val="00700053"/>
    <w:rsid w:val="00700DF9"/>
    <w:rsid w:val="00701271"/>
    <w:rsid w:val="00707366"/>
    <w:rsid w:val="007106F9"/>
    <w:rsid w:val="00710AEB"/>
    <w:rsid w:val="00712702"/>
    <w:rsid w:val="00715EE4"/>
    <w:rsid w:val="00717B5E"/>
    <w:rsid w:val="00731A2F"/>
    <w:rsid w:val="007367AB"/>
    <w:rsid w:val="00737083"/>
    <w:rsid w:val="00741640"/>
    <w:rsid w:val="00742EDF"/>
    <w:rsid w:val="007464DF"/>
    <w:rsid w:val="007476FE"/>
    <w:rsid w:val="00751C65"/>
    <w:rsid w:val="00752D8A"/>
    <w:rsid w:val="0076015B"/>
    <w:rsid w:val="00763774"/>
    <w:rsid w:val="00764419"/>
    <w:rsid w:val="007648B1"/>
    <w:rsid w:val="00766840"/>
    <w:rsid w:val="007679C4"/>
    <w:rsid w:val="00771BAA"/>
    <w:rsid w:val="00773EA1"/>
    <w:rsid w:val="0077542B"/>
    <w:rsid w:val="00776160"/>
    <w:rsid w:val="007807CF"/>
    <w:rsid w:val="00782E5B"/>
    <w:rsid w:val="007849C0"/>
    <w:rsid w:val="00785310"/>
    <w:rsid w:val="00785336"/>
    <w:rsid w:val="0078671C"/>
    <w:rsid w:val="00786CB5"/>
    <w:rsid w:val="007920B3"/>
    <w:rsid w:val="00792D46"/>
    <w:rsid w:val="0079698F"/>
    <w:rsid w:val="007A03ED"/>
    <w:rsid w:val="007A13D4"/>
    <w:rsid w:val="007A1595"/>
    <w:rsid w:val="007A1D9D"/>
    <w:rsid w:val="007A40DC"/>
    <w:rsid w:val="007A45BF"/>
    <w:rsid w:val="007A60E7"/>
    <w:rsid w:val="007A6242"/>
    <w:rsid w:val="007A6535"/>
    <w:rsid w:val="007A7F61"/>
    <w:rsid w:val="007B11EB"/>
    <w:rsid w:val="007B3B79"/>
    <w:rsid w:val="007B5CEC"/>
    <w:rsid w:val="007C3B5A"/>
    <w:rsid w:val="007C3BC5"/>
    <w:rsid w:val="007C4B60"/>
    <w:rsid w:val="007C539C"/>
    <w:rsid w:val="007D2A63"/>
    <w:rsid w:val="007D56C7"/>
    <w:rsid w:val="007D7EF9"/>
    <w:rsid w:val="007E0A73"/>
    <w:rsid w:val="007E233E"/>
    <w:rsid w:val="007E4CE1"/>
    <w:rsid w:val="007E7ADC"/>
    <w:rsid w:val="007F027F"/>
    <w:rsid w:val="007F2B0A"/>
    <w:rsid w:val="0080388F"/>
    <w:rsid w:val="00810DB7"/>
    <w:rsid w:val="00810FAB"/>
    <w:rsid w:val="00814CA2"/>
    <w:rsid w:val="00816F38"/>
    <w:rsid w:val="0082176F"/>
    <w:rsid w:val="00823E47"/>
    <w:rsid w:val="00824618"/>
    <w:rsid w:val="00831F31"/>
    <w:rsid w:val="00834469"/>
    <w:rsid w:val="00836C9C"/>
    <w:rsid w:val="00841F08"/>
    <w:rsid w:val="00842B7C"/>
    <w:rsid w:val="00842C7A"/>
    <w:rsid w:val="0084301E"/>
    <w:rsid w:val="008449DF"/>
    <w:rsid w:val="008516B4"/>
    <w:rsid w:val="00851B49"/>
    <w:rsid w:val="00852135"/>
    <w:rsid w:val="00860073"/>
    <w:rsid w:val="00860CC7"/>
    <w:rsid w:val="008613C1"/>
    <w:rsid w:val="0086306C"/>
    <w:rsid w:val="00863592"/>
    <w:rsid w:val="00864727"/>
    <w:rsid w:val="00865039"/>
    <w:rsid w:val="008675AE"/>
    <w:rsid w:val="00870719"/>
    <w:rsid w:val="00874D4D"/>
    <w:rsid w:val="00880EAA"/>
    <w:rsid w:val="00881FA8"/>
    <w:rsid w:val="008854B5"/>
    <w:rsid w:val="0089296B"/>
    <w:rsid w:val="00895694"/>
    <w:rsid w:val="008958D4"/>
    <w:rsid w:val="008966A2"/>
    <w:rsid w:val="008969D3"/>
    <w:rsid w:val="0089777A"/>
    <w:rsid w:val="008A0B26"/>
    <w:rsid w:val="008A4F71"/>
    <w:rsid w:val="008A7A40"/>
    <w:rsid w:val="008B1E91"/>
    <w:rsid w:val="008B2FD7"/>
    <w:rsid w:val="008B315E"/>
    <w:rsid w:val="008B49B7"/>
    <w:rsid w:val="008B6D86"/>
    <w:rsid w:val="008B746F"/>
    <w:rsid w:val="008C4135"/>
    <w:rsid w:val="008C7FC2"/>
    <w:rsid w:val="008D0188"/>
    <w:rsid w:val="008D0D5F"/>
    <w:rsid w:val="008D12B7"/>
    <w:rsid w:val="008D1D3D"/>
    <w:rsid w:val="008D688A"/>
    <w:rsid w:val="008F028E"/>
    <w:rsid w:val="008F1855"/>
    <w:rsid w:val="008F1A4F"/>
    <w:rsid w:val="008F1CFB"/>
    <w:rsid w:val="008F1F32"/>
    <w:rsid w:val="008F36DC"/>
    <w:rsid w:val="008F63DC"/>
    <w:rsid w:val="00901978"/>
    <w:rsid w:val="00902548"/>
    <w:rsid w:val="00907071"/>
    <w:rsid w:val="00910927"/>
    <w:rsid w:val="00910A9F"/>
    <w:rsid w:val="00911DD2"/>
    <w:rsid w:val="009171D1"/>
    <w:rsid w:val="00920AF1"/>
    <w:rsid w:val="00922FA6"/>
    <w:rsid w:val="00923B78"/>
    <w:rsid w:val="009240B8"/>
    <w:rsid w:val="00931AAE"/>
    <w:rsid w:val="00934A17"/>
    <w:rsid w:val="00934D9A"/>
    <w:rsid w:val="00943074"/>
    <w:rsid w:val="009439BD"/>
    <w:rsid w:val="00945A99"/>
    <w:rsid w:val="0094764D"/>
    <w:rsid w:val="00947709"/>
    <w:rsid w:val="0094776E"/>
    <w:rsid w:val="00954B62"/>
    <w:rsid w:val="00955F03"/>
    <w:rsid w:val="0095753B"/>
    <w:rsid w:val="009619DB"/>
    <w:rsid w:val="00961A44"/>
    <w:rsid w:val="009621E6"/>
    <w:rsid w:val="009624BD"/>
    <w:rsid w:val="009633F5"/>
    <w:rsid w:val="009707B6"/>
    <w:rsid w:val="00971B45"/>
    <w:rsid w:val="009825DD"/>
    <w:rsid w:val="00984D88"/>
    <w:rsid w:val="00993941"/>
    <w:rsid w:val="0099447D"/>
    <w:rsid w:val="00995E37"/>
    <w:rsid w:val="0099780D"/>
    <w:rsid w:val="00997F92"/>
    <w:rsid w:val="009A10BB"/>
    <w:rsid w:val="009A247D"/>
    <w:rsid w:val="009A3EF2"/>
    <w:rsid w:val="009A50C9"/>
    <w:rsid w:val="009A5B3C"/>
    <w:rsid w:val="009B32D3"/>
    <w:rsid w:val="009B3959"/>
    <w:rsid w:val="009B3B7B"/>
    <w:rsid w:val="009B3CBE"/>
    <w:rsid w:val="009B443B"/>
    <w:rsid w:val="009C564B"/>
    <w:rsid w:val="009C7CF6"/>
    <w:rsid w:val="009C7EB8"/>
    <w:rsid w:val="009D0462"/>
    <w:rsid w:val="009D2C4C"/>
    <w:rsid w:val="009D48B2"/>
    <w:rsid w:val="009D6C8B"/>
    <w:rsid w:val="009D7B50"/>
    <w:rsid w:val="009E042B"/>
    <w:rsid w:val="009E250A"/>
    <w:rsid w:val="009E5833"/>
    <w:rsid w:val="009F2089"/>
    <w:rsid w:val="00A00566"/>
    <w:rsid w:val="00A02C6D"/>
    <w:rsid w:val="00A04B6C"/>
    <w:rsid w:val="00A05E5B"/>
    <w:rsid w:val="00A06117"/>
    <w:rsid w:val="00A12B25"/>
    <w:rsid w:val="00A13191"/>
    <w:rsid w:val="00A13E93"/>
    <w:rsid w:val="00A14241"/>
    <w:rsid w:val="00A160EC"/>
    <w:rsid w:val="00A16476"/>
    <w:rsid w:val="00A23D0B"/>
    <w:rsid w:val="00A2634D"/>
    <w:rsid w:val="00A268BC"/>
    <w:rsid w:val="00A27363"/>
    <w:rsid w:val="00A30D1D"/>
    <w:rsid w:val="00A330BA"/>
    <w:rsid w:val="00A34FDD"/>
    <w:rsid w:val="00A3720F"/>
    <w:rsid w:val="00A412F2"/>
    <w:rsid w:val="00A41594"/>
    <w:rsid w:val="00A42DBC"/>
    <w:rsid w:val="00A42F8E"/>
    <w:rsid w:val="00A519D1"/>
    <w:rsid w:val="00A54C45"/>
    <w:rsid w:val="00A63B5C"/>
    <w:rsid w:val="00A71813"/>
    <w:rsid w:val="00A7225C"/>
    <w:rsid w:val="00A72D82"/>
    <w:rsid w:val="00A72FE8"/>
    <w:rsid w:val="00A75255"/>
    <w:rsid w:val="00A765D0"/>
    <w:rsid w:val="00A767A9"/>
    <w:rsid w:val="00A848AB"/>
    <w:rsid w:val="00A86F21"/>
    <w:rsid w:val="00A90C0E"/>
    <w:rsid w:val="00A90E6E"/>
    <w:rsid w:val="00A9639C"/>
    <w:rsid w:val="00AA1A3B"/>
    <w:rsid w:val="00AA27D2"/>
    <w:rsid w:val="00AA6145"/>
    <w:rsid w:val="00AB3A8F"/>
    <w:rsid w:val="00AB44E0"/>
    <w:rsid w:val="00AB609E"/>
    <w:rsid w:val="00AB6EE2"/>
    <w:rsid w:val="00AC1DC4"/>
    <w:rsid w:val="00AC6BBB"/>
    <w:rsid w:val="00AD160A"/>
    <w:rsid w:val="00AD164C"/>
    <w:rsid w:val="00AD270B"/>
    <w:rsid w:val="00AD743F"/>
    <w:rsid w:val="00AE0E5C"/>
    <w:rsid w:val="00AF2E87"/>
    <w:rsid w:val="00AF5EBE"/>
    <w:rsid w:val="00AF73D3"/>
    <w:rsid w:val="00B04C0A"/>
    <w:rsid w:val="00B05CAB"/>
    <w:rsid w:val="00B1598C"/>
    <w:rsid w:val="00B15C6D"/>
    <w:rsid w:val="00B17F7D"/>
    <w:rsid w:val="00B216D0"/>
    <w:rsid w:val="00B2199A"/>
    <w:rsid w:val="00B22178"/>
    <w:rsid w:val="00B227E9"/>
    <w:rsid w:val="00B230CE"/>
    <w:rsid w:val="00B23C22"/>
    <w:rsid w:val="00B241AE"/>
    <w:rsid w:val="00B254E1"/>
    <w:rsid w:val="00B301B7"/>
    <w:rsid w:val="00B30B57"/>
    <w:rsid w:val="00B30F71"/>
    <w:rsid w:val="00B336E9"/>
    <w:rsid w:val="00B423D4"/>
    <w:rsid w:val="00B42DB3"/>
    <w:rsid w:val="00B42FC3"/>
    <w:rsid w:val="00B44412"/>
    <w:rsid w:val="00B44AC3"/>
    <w:rsid w:val="00B44C0C"/>
    <w:rsid w:val="00B47639"/>
    <w:rsid w:val="00B47A87"/>
    <w:rsid w:val="00B55458"/>
    <w:rsid w:val="00B579BD"/>
    <w:rsid w:val="00B646F9"/>
    <w:rsid w:val="00B66320"/>
    <w:rsid w:val="00B675C3"/>
    <w:rsid w:val="00B676ED"/>
    <w:rsid w:val="00B677CF"/>
    <w:rsid w:val="00B7046B"/>
    <w:rsid w:val="00B7123B"/>
    <w:rsid w:val="00B71D0E"/>
    <w:rsid w:val="00B7267F"/>
    <w:rsid w:val="00B865BD"/>
    <w:rsid w:val="00B9191C"/>
    <w:rsid w:val="00B92319"/>
    <w:rsid w:val="00B923D1"/>
    <w:rsid w:val="00B92969"/>
    <w:rsid w:val="00B94C47"/>
    <w:rsid w:val="00BA6513"/>
    <w:rsid w:val="00BA7193"/>
    <w:rsid w:val="00BB01AD"/>
    <w:rsid w:val="00BB3376"/>
    <w:rsid w:val="00BB7A2C"/>
    <w:rsid w:val="00BC02DA"/>
    <w:rsid w:val="00BC2A79"/>
    <w:rsid w:val="00BC3210"/>
    <w:rsid w:val="00BD0303"/>
    <w:rsid w:val="00BD251F"/>
    <w:rsid w:val="00BD5F97"/>
    <w:rsid w:val="00BD6B19"/>
    <w:rsid w:val="00BD7C47"/>
    <w:rsid w:val="00BE046C"/>
    <w:rsid w:val="00BE603C"/>
    <w:rsid w:val="00BF4C4B"/>
    <w:rsid w:val="00BF65D7"/>
    <w:rsid w:val="00C039B5"/>
    <w:rsid w:val="00C05E67"/>
    <w:rsid w:val="00C05ECC"/>
    <w:rsid w:val="00C07AAA"/>
    <w:rsid w:val="00C11552"/>
    <w:rsid w:val="00C11CD3"/>
    <w:rsid w:val="00C1201E"/>
    <w:rsid w:val="00C12256"/>
    <w:rsid w:val="00C13B4A"/>
    <w:rsid w:val="00C24EC8"/>
    <w:rsid w:val="00C30781"/>
    <w:rsid w:val="00C32A80"/>
    <w:rsid w:val="00C334E9"/>
    <w:rsid w:val="00C339BC"/>
    <w:rsid w:val="00C35521"/>
    <w:rsid w:val="00C35F3C"/>
    <w:rsid w:val="00C41467"/>
    <w:rsid w:val="00C43E78"/>
    <w:rsid w:val="00C472AD"/>
    <w:rsid w:val="00C538CE"/>
    <w:rsid w:val="00C55166"/>
    <w:rsid w:val="00C5632B"/>
    <w:rsid w:val="00C65070"/>
    <w:rsid w:val="00C66605"/>
    <w:rsid w:val="00C71A63"/>
    <w:rsid w:val="00C723E0"/>
    <w:rsid w:val="00C7286E"/>
    <w:rsid w:val="00C7301D"/>
    <w:rsid w:val="00C74BB7"/>
    <w:rsid w:val="00C802A9"/>
    <w:rsid w:val="00C83AA3"/>
    <w:rsid w:val="00C846F7"/>
    <w:rsid w:val="00C84F4B"/>
    <w:rsid w:val="00C86CAA"/>
    <w:rsid w:val="00C87040"/>
    <w:rsid w:val="00C87200"/>
    <w:rsid w:val="00C907F5"/>
    <w:rsid w:val="00C908E1"/>
    <w:rsid w:val="00C92002"/>
    <w:rsid w:val="00C93440"/>
    <w:rsid w:val="00C95279"/>
    <w:rsid w:val="00C97D8D"/>
    <w:rsid w:val="00CA4DB9"/>
    <w:rsid w:val="00CB0C32"/>
    <w:rsid w:val="00CB0C6C"/>
    <w:rsid w:val="00CB268C"/>
    <w:rsid w:val="00CB26CC"/>
    <w:rsid w:val="00CB784E"/>
    <w:rsid w:val="00CC0901"/>
    <w:rsid w:val="00CC175C"/>
    <w:rsid w:val="00CC2ABB"/>
    <w:rsid w:val="00CC363F"/>
    <w:rsid w:val="00CC51F7"/>
    <w:rsid w:val="00CC5752"/>
    <w:rsid w:val="00CD11F0"/>
    <w:rsid w:val="00CD5C76"/>
    <w:rsid w:val="00CE39BE"/>
    <w:rsid w:val="00CE483C"/>
    <w:rsid w:val="00CE5D47"/>
    <w:rsid w:val="00CF00CA"/>
    <w:rsid w:val="00CF113A"/>
    <w:rsid w:val="00CF33F1"/>
    <w:rsid w:val="00CF511B"/>
    <w:rsid w:val="00CF51DB"/>
    <w:rsid w:val="00CF7CF9"/>
    <w:rsid w:val="00D03846"/>
    <w:rsid w:val="00D119BD"/>
    <w:rsid w:val="00D138C0"/>
    <w:rsid w:val="00D2231E"/>
    <w:rsid w:val="00D27D83"/>
    <w:rsid w:val="00D301C6"/>
    <w:rsid w:val="00D32E6B"/>
    <w:rsid w:val="00D334E7"/>
    <w:rsid w:val="00D33B1C"/>
    <w:rsid w:val="00D3711B"/>
    <w:rsid w:val="00D375BE"/>
    <w:rsid w:val="00D4145A"/>
    <w:rsid w:val="00D41F50"/>
    <w:rsid w:val="00D44A6A"/>
    <w:rsid w:val="00D44DBA"/>
    <w:rsid w:val="00D45115"/>
    <w:rsid w:val="00D46B75"/>
    <w:rsid w:val="00D475A4"/>
    <w:rsid w:val="00D602E8"/>
    <w:rsid w:val="00D60A08"/>
    <w:rsid w:val="00D62272"/>
    <w:rsid w:val="00D626BC"/>
    <w:rsid w:val="00D62DA9"/>
    <w:rsid w:val="00D6623D"/>
    <w:rsid w:val="00D73A54"/>
    <w:rsid w:val="00D75822"/>
    <w:rsid w:val="00D8012A"/>
    <w:rsid w:val="00D834B3"/>
    <w:rsid w:val="00D846ED"/>
    <w:rsid w:val="00D9234B"/>
    <w:rsid w:val="00D93B6D"/>
    <w:rsid w:val="00D95AE0"/>
    <w:rsid w:val="00DA3FFE"/>
    <w:rsid w:val="00DA5763"/>
    <w:rsid w:val="00DB0609"/>
    <w:rsid w:val="00DB16B8"/>
    <w:rsid w:val="00DB4F37"/>
    <w:rsid w:val="00DB7E2B"/>
    <w:rsid w:val="00DC1B45"/>
    <w:rsid w:val="00DC27D4"/>
    <w:rsid w:val="00DC2F68"/>
    <w:rsid w:val="00DC2FBC"/>
    <w:rsid w:val="00DC4BAE"/>
    <w:rsid w:val="00DC516D"/>
    <w:rsid w:val="00DC56E3"/>
    <w:rsid w:val="00DD74F7"/>
    <w:rsid w:val="00DD7C8A"/>
    <w:rsid w:val="00DE5353"/>
    <w:rsid w:val="00DE63C0"/>
    <w:rsid w:val="00DF0629"/>
    <w:rsid w:val="00DF3D6B"/>
    <w:rsid w:val="00DF6946"/>
    <w:rsid w:val="00E025E5"/>
    <w:rsid w:val="00E12CB9"/>
    <w:rsid w:val="00E1706B"/>
    <w:rsid w:val="00E20CC6"/>
    <w:rsid w:val="00E22A51"/>
    <w:rsid w:val="00E22F88"/>
    <w:rsid w:val="00E23273"/>
    <w:rsid w:val="00E266A1"/>
    <w:rsid w:val="00E2793D"/>
    <w:rsid w:val="00E33899"/>
    <w:rsid w:val="00E344C6"/>
    <w:rsid w:val="00E3619D"/>
    <w:rsid w:val="00E43808"/>
    <w:rsid w:val="00E51EE9"/>
    <w:rsid w:val="00E522D5"/>
    <w:rsid w:val="00E5541A"/>
    <w:rsid w:val="00E61634"/>
    <w:rsid w:val="00E6227E"/>
    <w:rsid w:val="00E63791"/>
    <w:rsid w:val="00E71298"/>
    <w:rsid w:val="00E72C3B"/>
    <w:rsid w:val="00E73949"/>
    <w:rsid w:val="00E775B7"/>
    <w:rsid w:val="00E805C3"/>
    <w:rsid w:val="00E83B37"/>
    <w:rsid w:val="00E872C7"/>
    <w:rsid w:val="00E90ACE"/>
    <w:rsid w:val="00E9208C"/>
    <w:rsid w:val="00E9216B"/>
    <w:rsid w:val="00E944A3"/>
    <w:rsid w:val="00E959D9"/>
    <w:rsid w:val="00E96ADB"/>
    <w:rsid w:val="00EA0C45"/>
    <w:rsid w:val="00EA0CDA"/>
    <w:rsid w:val="00EA341E"/>
    <w:rsid w:val="00EA350F"/>
    <w:rsid w:val="00EA390C"/>
    <w:rsid w:val="00EA5606"/>
    <w:rsid w:val="00EB5F34"/>
    <w:rsid w:val="00EC19AB"/>
    <w:rsid w:val="00EC4D18"/>
    <w:rsid w:val="00EC708C"/>
    <w:rsid w:val="00EC74A1"/>
    <w:rsid w:val="00EC7781"/>
    <w:rsid w:val="00EC788D"/>
    <w:rsid w:val="00ED3D1E"/>
    <w:rsid w:val="00ED40C1"/>
    <w:rsid w:val="00EE3A5C"/>
    <w:rsid w:val="00EE456E"/>
    <w:rsid w:val="00EE51E9"/>
    <w:rsid w:val="00EE6FCC"/>
    <w:rsid w:val="00EF12BC"/>
    <w:rsid w:val="00EF2EF3"/>
    <w:rsid w:val="00EF40E3"/>
    <w:rsid w:val="00EF65CC"/>
    <w:rsid w:val="00F035DA"/>
    <w:rsid w:val="00F052B0"/>
    <w:rsid w:val="00F05DC9"/>
    <w:rsid w:val="00F13E0B"/>
    <w:rsid w:val="00F141B1"/>
    <w:rsid w:val="00F230D5"/>
    <w:rsid w:val="00F30D04"/>
    <w:rsid w:val="00F31787"/>
    <w:rsid w:val="00F31947"/>
    <w:rsid w:val="00F344D9"/>
    <w:rsid w:val="00F34B65"/>
    <w:rsid w:val="00F350FA"/>
    <w:rsid w:val="00F358EF"/>
    <w:rsid w:val="00F37F1C"/>
    <w:rsid w:val="00F50CC2"/>
    <w:rsid w:val="00F558D0"/>
    <w:rsid w:val="00F55C48"/>
    <w:rsid w:val="00F56576"/>
    <w:rsid w:val="00F60D11"/>
    <w:rsid w:val="00F62D86"/>
    <w:rsid w:val="00F64972"/>
    <w:rsid w:val="00F721FC"/>
    <w:rsid w:val="00F73E01"/>
    <w:rsid w:val="00F8079D"/>
    <w:rsid w:val="00F94364"/>
    <w:rsid w:val="00F95646"/>
    <w:rsid w:val="00F95DF6"/>
    <w:rsid w:val="00FA1824"/>
    <w:rsid w:val="00FA1BF5"/>
    <w:rsid w:val="00FB0E0A"/>
    <w:rsid w:val="00FB1C40"/>
    <w:rsid w:val="00FC11E9"/>
    <w:rsid w:val="00FC1242"/>
    <w:rsid w:val="00FC1919"/>
    <w:rsid w:val="00FC22E4"/>
    <w:rsid w:val="00FC34A7"/>
    <w:rsid w:val="00FC381B"/>
    <w:rsid w:val="00FC6B95"/>
    <w:rsid w:val="00FD1522"/>
    <w:rsid w:val="00FE0223"/>
    <w:rsid w:val="00FE1C51"/>
    <w:rsid w:val="00FE4CCB"/>
    <w:rsid w:val="00FE4F0C"/>
    <w:rsid w:val="00FE7EE7"/>
    <w:rsid w:val="00FF1C38"/>
    <w:rsid w:val="00FF3067"/>
    <w:rsid w:val="00FF32D9"/>
    <w:rsid w:val="00FF69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1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5E1B"/>
    <w:pPr>
      <w:tabs>
        <w:tab w:val="center" w:pos="4320"/>
        <w:tab w:val="right" w:pos="8640"/>
      </w:tabs>
    </w:pPr>
  </w:style>
  <w:style w:type="paragraph" w:styleId="Footer">
    <w:name w:val="footer"/>
    <w:basedOn w:val="Normal"/>
    <w:rsid w:val="002C5E1B"/>
    <w:pPr>
      <w:tabs>
        <w:tab w:val="center" w:pos="4320"/>
        <w:tab w:val="right" w:pos="8640"/>
      </w:tabs>
    </w:pPr>
  </w:style>
  <w:style w:type="character" w:styleId="PageNumber">
    <w:name w:val="page number"/>
    <w:basedOn w:val="DefaultParagraphFont"/>
    <w:rsid w:val="00BA6513"/>
  </w:style>
  <w:style w:type="table" w:styleId="TableGrid">
    <w:name w:val="Table Grid"/>
    <w:basedOn w:val="TableNormal"/>
    <w:rsid w:val="00B17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BB3376"/>
    <w:rPr>
      <w:color w:val="0000FF"/>
      <w:u w:val="single"/>
    </w:rPr>
  </w:style>
  <w:style w:type="character" w:styleId="CommentReference">
    <w:name w:val="annotation reference"/>
    <w:semiHidden/>
    <w:rsid w:val="00476150"/>
    <w:rPr>
      <w:sz w:val="16"/>
      <w:szCs w:val="16"/>
    </w:rPr>
  </w:style>
  <w:style w:type="paragraph" w:styleId="CommentText">
    <w:name w:val="annotation text"/>
    <w:basedOn w:val="Normal"/>
    <w:semiHidden/>
    <w:rsid w:val="00476150"/>
    <w:rPr>
      <w:sz w:val="20"/>
      <w:szCs w:val="20"/>
    </w:rPr>
  </w:style>
  <w:style w:type="paragraph" w:styleId="CommentSubject">
    <w:name w:val="annotation subject"/>
    <w:basedOn w:val="CommentText"/>
    <w:next w:val="CommentText"/>
    <w:semiHidden/>
    <w:rsid w:val="00476150"/>
    <w:rPr>
      <w:b/>
      <w:bCs/>
    </w:rPr>
  </w:style>
  <w:style w:type="paragraph" w:styleId="BalloonText">
    <w:name w:val="Balloon Text"/>
    <w:basedOn w:val="Normal"/>
    <w:semiHidden/>
    <w:rsid w:val="00476150"/>
    <w:rPr>
      <w:rFonts w:ascii="Tahoma" w:hAnsi="Tahoma" w:cs="Tahoma"/>
      <w:sz w:val="16"/>
      <w:szCs w:val="16"/>
    </w:rPr>
  </w:style>
  <w:style w:type="paragraph" w:styleId="FootnoteText">
    <w:name w:val="footnote text"/>
    <w:basedOn w:val="Normal"/>
    <w:link w:val="FootnoteTextChar"/>
    <w:uiPriority w:val="99"/>
    <w:semiHidden/>
    <w:unhideWhenUsed/>
    <w:rsid w:val="00414F28"/>
    <w:rPr>
      <w:sz w:val="20"/>
      <w:szCs w:val="20"/>
    </w:rPr>
  </w:style>
  <w:style w:type="character" w:customStyle="1" w:styleId="FootnoteTextChar">
    <w:name w:val="Footnote Text Char"/>
    <w:basedOn w:val="DefaultParagraphFont"/>
    <w:link w:val="FootnoteText"/>
    <w:uiPriority w:val="99"/>
    <w:semiHidden/>
    <w:rsid w:val="00414F28"/>
  </w:style>
  <w:style w:type="character" w:styleId="FootnoteReference">
    <w:name w:val="footnote reference"/>
    <w:uiPriority w:val="99"/>
    <w:semiHidden/>
    <w:unhideWhenUsed/>
    <w:rsid w:val="00414F28"/>
    <w:rPr>
      <w:vertAlign w:val="superscript"/>
    </w:rPr>
  </w:style>
  <w:style w:type="paragraph" w:styleId="EndnoteText">
    <w:name w:val="endnote text"/>
    <w:basedOn w:val="Normal"/>
    <w:link w:val="EndnoteTextChar"/>
    <w:uiPriority w:val="99"/>
    <w:semiHidden/>
    <w:unhideWhenUsed/>
    <w:rsid w:val="00654E19"/>
    <w:rPr>
      <w:sz w:val="20"/>
      <w:szCs w:val="20"/>
    </w:rPr>
  </w:style>
  <w:style w:type="character" w:customStyle="1" w:styleId="EndnoteTextChar">
    <w:name w:val="Endnote Text Char"/>
    <w:basedOn w:val="DefaultParagraphFont"/>
    <w:link w:val="EndnoteText"/>
    <w:uiPriority w:val="99"/>
    <w:semiHidden/>
    <w:rsid w:val="00654E19"/>
  </w:style>
  <w:style w:type="character" w:styleId="EndnoteReference">
    <w:name w:val="endnote reference"/>
    <w:uiPriority w:val="99"/>
    <w:semiHidden/>
    <w:unhideWhenUsed/>
    <w:rsid w:val="00654E19"/>
    <w:rPr>
      <w:vertAlign w:val="superscript"/>
    </w:rPr>
  </w:style>
  <w:style w:type="paragraph" w:styleId="ListParagraph">
    <w:name w:val="List Paragraph"/>
    <w:basedOn w:val="Normal"/>
    <w:uiPriority w:val="34"/>
    <w:qFormat/>
    <w:rsid w:val="00D846ED"/>
    <w:pPr>
      <w:ind w:left="720"/>
    </w:pPr>
  </w:style>
  <w:style w:type="paragraph" w:styleId="Revision">
    <w:name w:val="Revision"/>
    <w:hidden/>
    <w:uiPriority w:val="99"/>
    <w:semiHidden/>
    <w:rsid w:val="002D6DDF"/>
    <w:rPr>
      <w:sz w:val="24"/>
      <w:szCs w:val="24"/>
    </w:rPr>
  </w:style>
  <w:style w:type="paragraph" w:customStyle="1" w:styleId="Default">
    <w:name w:val="Default"/>
    <w:rsid w:val="00954B62"/>
    <w:pPr>
      <w:widowControl w:val="0"/>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85420068">
      <w:bodyDiv w:val="1"/>
      <w:marLeft w:val="0"/>
      <w:marRight w:val="0"/>
      <w:marTop w:val="0"/>
      <w:marBottom w:val="0"/>
      <w:divBdr>
        <w:top w:val="none" w:sz="0" w:space="0" w:color="auto"/>
        <w:left w:val="none" w:sz="0" w:space="0" w:color="auto"/>
        <w:bottom w:val="none" w:sz="0" w:space="0" w:color="auto"/>
        <w:right w:val="none" w:sz="0" w:space="0" w:color="auto"/>
      </w:divBdr>
      <w:divsChild>
        <w:div w:id="1011181552">
          <w:marLeft w:val="0"/>
          <w:marRight w:val="0"/>
          <w:marTop w:val="0"/>
          <w:marBottom w:val="0"/>
          <w:divBdr>
            <w:top w:val="none" w:sz="0" w:space="0" w:color="auto"/>
            <w:left w:val="none" w:sz="0" w:space="0" w:color="auto"/>
            <w:bottom w:val="none" w:sz="0" w:space="0" w:color="auto"/>
            <w:right w:val="none" w:sz="0" w:space="0" w:color="auto"/>
          </w:divBdr>
          <w:divsChild>
            <w:div w:id="8418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4043">
      <w:bodyDiv w:val="1"/>
      <w:marLeft w:val="0"/>
      <w:marRight w:val="0"/>
      <w:marTop w:val="0"/>
      <w:marBottom w:val="0"/>
      <w:divBdr>
        <w:top w:val="none" w:sz="0" w:space="0" w:color="auto"/>
        <w:left w:val="none" w:sz="0" w:space="0" w:color="auto"/>
        <w:bottom w:val="none" w:sz="0" w:space="0" w:color="auto"/>
        <w:right w:val="none" w:sz="0" w:space="0" w:color="auto"/>
      </w:divBdr>
      <w:divsChild>
        <w:div w:id="991525136">
          <w:marLeft w:val="0"/>
          <w:marRight w:val="0"/>
          <w:marTop w:val="0"/>
          <w:marBottom w:val="0"/>
          <w:divBdr>
            <w:top w:val="none" w:sz="0" w:space="0" w:color="auto"/>
            <w:left w:val="none" w:sz="0" w:space="0" w:color="auto"/>
            <w:bottom w:val="none" w:sz="0" w:space="0" w:color="auto"/>
            <w:right w:val="none" w:sz="0" w:space="0" w:color="auto"/>
          </w:divBdr>
          <w:divsChild>
            <w:div w:id="928122885">
              <w:marLeft w:val="0"/>
              <w:marRight w:val="0"/>
              <w:marTop w:val="0"/>
              <w:marBottom w:val="0"/>
              <w:divBdr>
                <w:top w:val="none" w:sz="0" w:space="0" w:color="auto"/>
                <w:left w:val="none" w:sz="0" w:space="0" w:color="auto"/>
                <w:bottom w:val="none" w:sz="0" w:space="0" w:color="auto"/>
                <w:right w:val="none" w:sz="0" w:space="0" w:color="auto"/>
              </w:divBdr>
            </w:div>
            <w:div w:id="1717654815">
              <w:marLeft w:val="0"/>
              <w:marRight w:val="0"/>
              <w:marTop w:val="0"/>
              <w:marBottom w:val="0"/>
              <w:divBdr>
                <w:top w:val="none" w:sz="0" w:space="0" w:color="auto"/>
                <w:left w:val="none" w:sz="0" w:space="0" w:color="auto"/>
                <w:bottom w:val="none" w:sz="0" w:space="0" w:color="auto"/>
                <w:right w:val="none" w:sz="0" w:space="0" w:color="auto"/>
              </w:divBdr>
            </w:div>
            <w:div w:id="187230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7402">
      <w:bodyDiv w:val="1"/>
      <w:marLeft w:val="0"/>
      <w:marRight w:val="0"/>
      <w:marTop w:val="0"/>
      <w:marBottom w:val="0"/>
      <w:divBdr>
        <w:top w:val="none" w:sz="0" w:space="0" w:color="auto"/>
        <w:left w:val="none" w:sz="0" w:space="0" w:color="auto"/>
        <w:bottom w:val="none" w:sz="0" w:space="0" w:color="auto"/>
        <w:right w:val="none" w:sz="0" w:space="0" w:color="auto"/>
      </w:divBdr>
    </w:div>
    <w:div w:id="158081811">
      <w:bodyDiv w:val="1"/>
      <w:marLeft w:val="0"/>
      <w:marRight w:val="0"/>
      <w:marTop w:val="0"/>
      <w:marBottom w:val="0"/>
      <w:divBdr>
        <w:top w:val="none" w:sz="0" w:space="0" w:color="auto"/>
        <w:left w:val="none" w:sz="0" w:space="0" w:color="auto"/>
        <w:bottom w:val="none" w:sz="0" w:space="0" w:color="auto"/>
        <w:right w:val="none" w:sz="0" w:space="0" w:color="auto"/>
      </w:divBdr>
    </w:div>
    <w:div w:id="608396221">
      <w:bodyDiv w:val="1"/>
      <w:marLeft w:val="0"/>
      <w:marRight w:val="0"/>
      <w:marTop w:val="0"/>
      <w:marBottom w:val="0"/>
      <w:divBdr>
        <w:top w:val="none" w:sz="0" w:space="0" w:color="auto"/>
        <w:left w:val="none" w:sz="0" w:space="0" w:color="auto"/>
        <w:bottom w:val="none" w:sz="0" w:space="0" w:color="auto"/>
        <w:right w:val="none" w:sz="0" w:space="0" w:color="auto"/>
      </w:divBdr>
      <w:divsChild>
        <w:div w:id="79063108">
          <w:marLeft w:val="0"/>
          <w:marRight w:val="0"/>
          <w:marTop w:val="0"/>
          <w:marBottom w:val="0"/>
          <w:divBdr>
            <w:top w:val="none" w:sz="0" w:space="0" w:color="auto"/>
            <w:left w:val="none" w:sz="0" w:space="0" w:color="auto"/>
            <w:bottom w:val="none" w:sz="0" w:space="0" w:color="auto"/>
            <w:right w:val="none" w:sz="0" w:space="0" w:color="auto"/>
          </w:divBdr>
          <w:divsChild>
            <w:div w:id="105201356">
              <w:marLeft w:val="0"/>
              <w:marRight w:val="0"/>
              <w:marTop w:val="0"/>
              <w:marBottom w:val="0"/>
              <w:divBdr>
                <w:top w:val="none" w:sz="0" w:space="0" w:color="auto"/>
                <w:left w:val="none" w:sz="0" w:space="0" w:color="auto"/>
                <w:bottom w:val="none" w:sz="0" w:space="0" w:color="auto"/>
                <w:right w:val="none" w:sz="0" w:space="0" w:color="auto"/>
              </w:divBdr>
            </w:div>
            <w:div w:id="166752739">
              <w:marLeft w:val="0"/>
              <w:marRight w:val="0"/>
              <w:marTop w:val="0"/>
              <w:marBottom w:val="0"/>
              <w:divBdr>
                <w:top w:val="none" w:sz="0" w:space="0" w:color="auto"/>
                <w:left w:val="none" w:sz="0" w:space="0" w:color="auto"/>
                <w:bottom w:val="none" w:sz="0" w:space="0" w:color="auto"/>
                <w:right w:val="none" w:sz="0" w:space="0" w:color="auto"/>
              </w:divBdr>
            </w:div>
            <w:div w:id="756287538">
              <w:marLeft w:val="0"/>
              <w:marRight w:val="0"/>
              <w:marTop w:val="0"/>
              <w:marBottom w:val="0"/>
              <w:divBdr>
                <w:top w:val="none" w:sz="0" w:space="0" w:color="auto"/>
                <w:left w:val="none" w:sz="0" w:space="0" w:color="auto"/>
                <w:bottom w:val="none" w:sz="0" w:space="0" w:color="auto"/>
                <w:right w:val="none" w:sz="0" w:space="0" w:color="auto"/>
              </w:divBdr>
            </w:div>
            <w:div w:id="876046642">
              <w:marLeft w:val="0"/>
              <w:marRight w:val="0"/>
              <w:marTop w:val="0"/>
              <w:marBottom w:val="0"/>
              <w:divBdr>
                <w:top w:val="none" w:sz="0" w:space="0" w:color="auto"/>
                <w:left w:val="none" w:sz="0" w:space="0" w:color="auto"/>
                <w:bottom w:val="none" w:sz="0" w:space="0" w:color="auto"/>
                <w:right w:val="none" w:sz="0" w:space="0" w:color="auto"/>
              </w:divBdr>
            </w:div>
            <w:div w:id="1326514342">
              <w:marLeft w:val="0"/>
              <w:marRight w:val="0"/>
              <w:marTop w:val="0"/>
              <w:marBottom w:val="0"/>
              <w:divBdr>
                <w:top w:val="none" w:sz="0" w:space="0" w:color="auto"/>
                <w:left w:val="none" w:sz="0" w:space="0" w:color="auto"/>
                <w:bottom w:val="none" w:sz="0" w:space="0" w:color="auto"/>
                <w:right w:val="none" w:sz="0" w:space="0" w:color="auto"/>
              </w:divBdr>
            </w:div>
            <w:div w:id="1950770286">
              <w:marLeft w:val="0"/>
              <w:marRight w:val="0"/>
              <w:marTop w:val="0"/>
              <w:marBottom w:val="0"/>
              <w:divBdr>
                <w:top w:val="none" w:sz="0" w:space="0" w:color="auto"/>
                <w:left w:val="none" w:sz="0" w:space="0" w:color="auto"/>
                <w:bottom w:val="none" w:sz="0" w:space="0" w:color="auto"/>
                <w:right w:val="none" w:sz="0" w:space="0" w:color="auto"/>
              </w:divBdr>
            </w:div>
            <w:div w:id="203792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6185">
      <w:bodyDiv w:val="1"/>
      <w:marLeft w:val="0"/>
      <w:marRight w:val="0"/>
      <w:marTop w:val="0"/>
      <w:marBottom w:val="0"/>
      <w:divBdr>
        <w:top w:val="none" w:sz="0" w:space="0" w:color="auto"/>
        <w:left w:val="none" w:sz="0" w:space="0" w:color="auto"/>
        <w:bottom w:val="none" w:sz="0" w:space="0" w:color="auto"/>
        <w:right w:val="none" w:sz="0" w:space="0" w:color="auto"/>
      </w:divBdr>
    </w:div>
    <w:div w:id="1099905540">
      <w:bodyDiv w:val="1"/>
      <w:marLeft w:val="0"/>
      <w:marRight w:val="0"/>
      <w:marTop w:val="0"/>
      <w:marBottom w:val="0"/>
      <w:divBdr>
        <w:top w:val="none" w:sz="0" w:space="0" w:color="auto"/>
        <w:left w:val="none" w:sz="0" w:space="0" w:color="auto"/>
        <w:bottom w:val="none" w:sz="0" w:space="0" w:color="auto"/>
        <w:right w:val="none" w:sz="0" w:space="0" w:color="auto"/>
      </w:divBdr>
    </w:div>
    <w:div w:id="1301226081">
      <w:bodyDiv w:val="1"/>
      <w:marLeft w:val="0"/>
      <w:marRight w:val="0"/>
      <w:marTop w:val="0"/>
      <w:marBottom w:val="0"/>
      <w:divBdr>
        <w:top w:val="none" w:sz="0" w:space="0" w:color="auto"/>
        <w:left w:val="none" w:sz="0" w:space="0" w:color="auto"/>
        <w:bottom w:val="none" w:sz="0" w:space="0" w:color="auto"/>
        <w:right w:val="none" w:sz="0" w:space="0" w:color="auto"/>
      </w:divBdr>
      <w:divsChild>
        <w:div w:id="1419134469">
          <w:marLeft w:val="0"/>
          <w:marRight w:val="0"/>
          <w:marTop w:val="0"/>
          <w:marBottom w:val="0"/>
          <w:divBdr>
            <w:top w:val="none" w:sz="0" w:space="0" w:color="auto"/>
            <w:left w:val="none" w:sz="0" w:space="0" w:color="auto"/>
            <w:bottom w:val="none" w:sz="0" w:space="0" w:color="auto"/>
            <w:right w:val="none" w:sz="0" w:space="0" w:color="auto"/>
          </w:divBdr>
          <w:divsChild>
            <w:div w:id="153111699">
              <w:marLeft w:val="0"/>
              <w:marRight w:val="0"/>
              <w:marTop w:val="0"/>
              <w:marBottom w:val="0"/>
              <w:divBdr>
                <w:top w:val="none" w:sz="0" w:space="0" w:color="auto"/>
                <w:left w:val="none" w:sz="0" w:space="0" w:color="auto"/>
                <w:bottom w:val="none" w:sz="0" w:space="0" w:color="auto"/>
                <w:right w:val="none" w:sz="0" w:space="0" w:color="auto"/>
              </w:divBdr>
            </w:div>
            <w:div w:id="20709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6985">
      <w:bodyDiv w:val="1"/>
      <w:marLeft w:val="0"/>
      <w:marRight w:val="0"/>
      <w:marTop w:val="0"/>
      <w:marBottom w:val="0"/>
      <w:divBdr>
        <w:top w:val="none" w:sz="0" w:space="0" w:color="auto"/>
        <w:left w:val="none" w:sz="0" w:space="0" w:color="auto"/>
        <w:bottom w:val="none" w:sz="0" w:space="0" w:color="auto"/>
        <w:right w:val="none" w:sz="0" w:space="0" w:color="auto"/>
      </w:divBdr>
    </w:div>
    <w:div w:id="1384448092">
      <w:bodyDiv w:val="1"/>
      <w:marLeft w:val="0"/>
      <w:marRight w:val="0"/>
      <w:marTop w:val="0"/>
      <w:marBottom w:val="0"/>
      <w:divBdr>
        <w:top w:val="none" w:sz="0" w:space="0" w:color="auto"/>
        <w:left w:val="none" w:sz="0" w:space="0" w:color="auto"/>
        <w:bottom w:val="none" w:sz="0" w:space="0" w:color="auto"/>
        <w:right w:val="none" w:sz="0" w:space="0" w:color="auto"/>
      </w:divBdr>
    </w:div>
    <w:div w:id="1550068724">
      <w:bodyDiv w:val="1"/>
      <w:marLeft w:val="0"/>
      <w:marRight w:val="0"/>
      <w:marTop w:val="0"/>
      <w:marBottom w:val="0"/>
      <w:divBdr>
        <w:top w:val="none" w:sz="0" w:space="0" w:color="auto"/>
        <w:left w:val="none" w:sz="0" w:space="0" w:color="auto"/>
        <w:bottom w:val="none" w:sz="0" w:space="0" w:color="auto"/>
        <w:right w:val="none" w:sz="0" w:space="0" w:color="auto"/>
      </w:divBdr>
    </w:div>
    <w:div w:id="1643072357">
      <w:bodyDiv w:val="1"/>
      <w:marLeft w:val="0"/>
      <w:marRight w:val="0"/>
      <w:marTop w:val="0"/>
      <w:marBottom w:val="0"/>
      <w:divBdr>
        <w:top w:val="none" w:sz="0" w:space="0" w:color="auto"/>
        <w:left w:val="none" w:sz="0" w:space="0" w:color="auto"/>
        <w:bottom w:val="none" w:sz="0" w:space="0" w:color="auto"/>
        <w:right w:val="none" w:sz="0" w:space="0" w:color="auto"/>
      </w:divBdr>
      <w:divsChild>
        <w:div w:id="1063407187">
          <w:marLeft w:val="0"/>
          <w:marRight w:val="0"/>
          <w:marTop w:val="0"/>
          <w:marBottom w:val="0"/>
          <w:divBdr>
            <w:top w:val="none" w:sz="0" w:space="0" w:color="auto"/>
            <w:left w:val="none" w:sz="0" w:space="0" w:color="auto"/>
            <w:bottom w:val="none" w:sz="0" w:space="0" w:color="auto"/>
            <w:right w:val="none" w:sz="0" w:space="0" w:color="auto"/>
          </w:divBdr>
          <w:divsChild>
            <w:div w:id="942884847">
              <w:marLeft w:val="0"/>
              <w:marRight w:val="0"/>
              <w:marTop w:val="0"/>
              <w:marBottom w:val="0"/>
              <w:divBdr>
                <w:top w:val="none" w:sz="0" w:space="0" w:color="auto"/>
                <w:left w:val="none" w:sz="0" w:space="0" w:color="auto"/>
                <w:bottom w:val="none" w:sz="0" w:space="0" w:color="auto"/>
                <w:right w:val="none" w:sz="0" w:space="0" w:color="auto"/>
              </w:divBdr>
            </w:div>
            <w:div w:id="9648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8143">
      <w:bodyDiv w:val="1"/>
      <w:marLeft w:val="67"/>
      <w:marRight w:val="67"/>
      <w:marTop w:val="67"/>
      <w:marBottom w:val="17"/>
      <w:divBdr>
        <w:top w:val="none" w:sz="0" w:space="0" w:color="auto"/>
        <w:left w:val="none" w:sz="0" w:space="0" w:color="auto"/>
        <w:bottom w:val="none" w:sz="0" w:space="0" w:color="auto"/>
        <w:right w:val="none" w:sz="0" w:space="0" w:color="auto"/>
      </w:divBdr>
      <w:divsChild>
        <w:div w:id="814496187">
          <w:marLeft w:val="0"/>
          <w:marRight w:val="0"/>
          <w:marTop w:val="0"/>
          <w:marBottom w:val="0"/>
          <w:divBdr>
            <w:top w:val="none" w:sz="0" w:space="0" w:color="auto"/>
            <w:left w:val="none" w:sz="0" w:space="0" w:color="auto"/>
            <w:bottom w:val="none" w:sz="0" w:space="0" w:color="auto"/>
            <w:right w:val="none" w:sz="0" w:space="0" w:color="auto"/>
          </w:divBdr>
          <w:divsChild>
            <w:div w:id="1080756716">
              <w:marLeft w:val="0"/>
              <w:marRight w:val="0"/>
              <w:marTop w:val="0"/>
              <w:marBottom w:val="0"/>
              <w:divBdr>
                <w:top w:val="none" w:sz="0" w:space="0" w:color="auto"/>
                <w:left w:val="none" w:sz="0" w:space="0" w:color="auto"/>
                <w:bottom w:val="none" w:sz="0" w:space="0" w:color="auto"/>
                <w:right w:val="none" w:sz="0" w:space="0" w:color="auto"/>
              </w:divBdr>
              <w:divsChild>
                <w:div w:id="18396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09186">
      <w:bodyDiv w:val="1"/>
      <w:marLeft w:val="0"/>
      <w:marRight w:val="0"/>
      <w:marTop w:val="0"/>
      <w:marBottom w:val="0"/>
      <w:divBdr>
        <w:top w:val="none" w:sz="0" w:space="0" w:color="auto"/>
        <w:left w:val="none" w:sz="0" w:space="0" w:color="auto"/>
        <w:bottom w:val="none" w:sz="0" w:space="0" w:color="auto"/>
        <w:right w:val="none" w:sz="0" w:space="0" w:color="auto"/>
      </w:divBdr>
    </w:div>
    <w:div w:id="1896350712">
      <w:bodyDiv w:val="1"/>
      <w:marLeft w:val="0"/>
      <w:marRight w:val="0"/>
      <w:marTop w:val="0"/>
      <w:marBottom w:val="0"/>
      <w:divBdr>
        <w:top w:val="none" w:sz="0" w:space="0" w:color="auto"/>
        <w:left w:val="none" w:sz="0" w:space="0" w:color="auto"/>
        <w:bottom w:val="none" w:sz="0" w:space="0" w:color="auto"/>
        <w:right w:val="none" w:sz="0" w:space="0" w:color="auto"/>
      </w:divBdr>
      <w:divsChild>
        <w:div w:id="191699149">
          <w:marLeft w:val="0"/>
          <w:marRight w:val="0"/>
          <w:marTop w:val="0"/>
          <w:marBottom w:val="0"/>
          <w:divBdr>
            <w:top w:val="none" w:sz="0" w:space="0" w:color="auto"/>
            <w:left w:val="none" w:sz="0" w:space="0" w:color="auto"/>
            <w:bottom w:val="none" w:sz="0" w:space="0" w:color="auto"/>
            <w:right w:val="none" w:sz="0" w:space="0" w:color="auto"/>
          </w:divBdr>
          <w:divsChild>
            <w:div w:id="37557596">
              <w:marLeft w:val="0"/>
              <w:marRight w:val="0"/>
              <w:marTop w:val="0"/>
              <w:marBottom w:val="0"/>
              <w:divBdr>
                <w:top w:val="none" w:sz="0" w:space="0" w:color="auto"/>
                <w:left w:val="none" w:sz="0" w:space="0" w:color="auto"/>
                <w:bottom w:val="none" w:sz="0" w:space="0" w:color="auto"/>
                <w:right w:val="none" w:sz="0" w:space="0" w:color="auto"/>
              </w:divBdr>
            </w:div>
            <w:div w:id="14899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s://mail.otcair.org/exchweb/bin/redir.asp?URL=http://ampd.epa.gov/ampd/"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hyperlink" Target="http://www.otcair.org/upload/Documents/Formal%20Actions/OTC_2007_SpecialMtg_%20HEDDMOU_Final_070302%5b1%5d.pdf" TargetMode="Externa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otcair.org/upload/Documents/Formal%20Actions/Chrg%20to%20SAS%20for%20Reg%20Attainment%20of%20Ozone.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otcair.org/upload/Documents/Model%20Rules/OTC%20Model%20Rule%20-%20HEDD%20Turbines%20Final.pdf" TargetMode="External"/><Relationship Id="rId37" Type="http://schemas.openxmlformats.org/officeDocument/2006/relationships/image" Target="media/image22.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www.otcair.org/upload/Documents/Formal%20Actions/Charge%20to%20SAS%20Committee.pdf" TargetMode="External"/><Relationship Id="rId36"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otcair.org/upload/Documents/Meeting%20Materials/OTC%20Oil%20and%20Gas%20EGU%20Boiler%20NOx%20Model%20Rule%20Draft%20B_MOU_100603.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www.otcair.org/upload/Documents/Formal%20Actions/Statement_EGUs.pdf" TargetMode="External"/><Relationship Id="rId35" Type="http://schemas.openxmlformats.org/officeDocument/2006/relationships/hyperlink" Target="https://mail.otcair.org/exchweb/bin/redir.asp?URL=http://www.nws.noaa.gov/climate/"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otcair.org/upload/Documents/Meeting%20Materials/OTC%20Oil%20and%20Gas%20EGU%20Boiler%20NOx%20Model%20Rule%20Draft%20B_MOU_100603.pdf" TargetMode="External"/><Relationship Id="rId7" Type="http://schemas.openxmlformats.org/officeDocument/2006/relationships/hyperlink" Target="https://mail.otcair.org/exchweb/bin/redir.asp?URL=http://www.nws.noaa.gov/climate/" TargetMode="External"/><Relationship Id="rId2" Type="http://schemas.openxmlformats.org/officeDocument/2006/relationships/hyperlink" Target="http://www.otcair.org/upload/Documents/Formal%20Actions/Chrg%20to%20SAS%20for%20Reg%20Attainment%20of%20Ozone.pdf" TargetMode="External"/><Relationship Id="rId1" Type="http://schemas.openxmlformats.org/officeDocument/2006/relationships/hyperlink" Target="http://www.otcair.org/upload/Documents/Formal%20Actions/Charge%20to%20SAS%20Committee.pdf" TargetMode="External"/><Relationship Id="rId6" Type="http://schemas.openxmlformats.org/officeDocument/2006/relationships/hyperlink" Target="https://mail.otcair.org/exchweb/bin/redir.asp?URL=http://ampd.epa.gov/ampd/" TargetMode="External"/><Relationship Id="rId5" Type="http://schemas.openxmlformats.org/officeDocument/2006/relationships/hyperlink" Target="http://www.otcair.org/upload/Documents/Formal%20Actions/OTC_2007_SpecialMtg_%20HEDDMOU_Final_070302%5b1%5d.pdf" TargetMode="External"/><Relationship Id="rId4" Type="http://schemas.openxmlformats.org/officeDocument/2006/relationships/hyperlink" Target="http://www.otcair.org/upload/Documents/Model%20Rules/OTC%20Model%20Rule%20-%20HEDD%20Turbines%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C6CA0-F6CA-4A38-B8E8-84B27C40A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Pages>
  <Words>8246</Words>
  <Characters>47003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OTC Largest Contributor Analysis Electric Generating Unit (EGU) Workgroup</vt:lpstr>
    </vt:vector>
  </TitlesOfParts>
  <Company>State of NH</Company>
  <LinksUpToDate>false</LinksUpToDate>
  <CharactersWithSpaces>55139</CharactersWithSpaces>
  <SharedDoc>false</SharedDoc>
  <HLinks>
    <vt:vector size="90" baseType="variant">
      <vt:variant>
        <vt:i4>3801198</vt:i4>
      </vt:variant>
      <vt:variant>
        <vt:i4>21</vt:i4>
      </vt:variant>
      <vt:variant>
        <vt:i4>0</vt:i4>
      </vt:variant>
      <vt:variant>
        <vt:i4>5</vt:i4>
      </vt:variant>
      <vt:variant>
        <vt:lpwstr>https://mail.otcair.org/exchweb/bin/redir.asp?URL=http://www.nws.noaa.gov/climate/</vt:lpwstr>
      </vt:variant>
      <vt:variant>
        <vt:lpwstr/>
      </vt:variant>
      <vt:variant>
        <vt:i4>3407986</vt:i4>
      </vt:variant>
      <vt:variant>
        <vt:i4>18</vt:i4>
      </vt:variant>
      <vt:variant>
        <vt:i4>0</vt:i4>
      </vt:variant>
      <vt:variant>
        <vt:i4>5</vt:i4>
      </vt:variant>
      <vt:variant>
        <vt:lpwstr>https://mail.otcair.org/exchweb/bin/redir.asp?URL=http://ampd.epa.gov/ampd/</vt:lpwstr>
      </vt:variant>
      <vt:variant>
        <vt:lpwstr/>
      </vt:variant>
      <vt:variant>
        <vt:i4>7012361</vt:i4>
      </vt:variant>
      <vt:variant>
        <vt:i4>15</vt:i4>
      </vt:variant>
      <vt:variant>
        <vt:i4>0</vt:i4>
      </vt:variant>
      <vt:variant>
        <vt:i4>5</vt:i4>
      </vt:variant>
      <vt:variant>
        <vt:lpwstr>http://www.otcair.org/upload/Documents/Formal Actions/OTC_2007_SpecialMtg_ HEDDMOU_Final_070302%5b1%5d.pdf</vt:lpwstr>
      </vt:variant>
      <vt:variant>
        <vt:lpwstr/>
      </vt:variant>
      <vt:variant>
        <vt:i4>2555944</vt:i4>
      </vt:variant>
      <vt:variant>
        <vt:i4>12</vt:i4>
      </vt:variant>
      <vt:variant>
        <vt:i4>0</vt:i4>
      </vt:variant>
      <vt:variant>
        <vt:i4>5</vt:i4>
      </vt:variant>
      <vt:variant>
        <vt:lpwstr>http://www.otcair.org/upload/Documents/Model Rules/OTC Model Rule - HEDD Turbines Final.pdf</vt:lpwstr>
      </vt:variant>
      <vt:variant>
        <vt:lpwstr/>
      </vt:variant>
      <vt:variant>
        <vt:i4>720970</vt:i4>
      </vt:variant>
      <vt:variant>
        <vt:i4>9</vt:i4>
      </vt:variant>
      <vt:variant>
        <vt:i4>0</vt:i4>
      </vt:variant>
      <vt:variant>
        <vt:i4>5</vt:i4>
      </vt:variant>
      <vt:variant>
        <vt:lpwstr>http://www.otcair.org/upload/Documents/Meeting Materials/OTC Oil and Gas EGU Boiler NOx Model Rule Draft B_MOU_100603.pdf</vt:lpwstr>
      </vt:variant>
      <vt:variant>
        <vt:lpwstr/>
      </vt:variant>
      <vt:variant>
        <vt:i4>7405591</vt:i4>
      </vt:variant>
      <vt:variant>
        <vt:i4>6</vt:i4>
      </vt:variant>
      <vt:variant>
        <vt:i4>0</vt:i4>
      </vt:variant>
      <vt:variant>
        <vt:i4>5</vt:i4>
      </vt:variant>
      <vt:variant>
        <vt:lpwstr>http://www.otcair.org/upload/Documents/Formal Actions/Statement_EGUs.pdf</vt:lpwstr>
      </vt:variant>
      <vt:variant>
        <vt:lpwstr/>
      </vt:variant>
      <vt:variant>
        <vt:i4>4456536</vt:i4>
      </vt:variant>
      <vt:variant>
        <vt:i4>3</vt:i4>
      </vt:variant>
      <vt:variant>
        <vt:i4>0</vt:i4>
      </vt:variant>
      <vt:variant>
        <vt:i4>5</vt:i4>
      </vt:variant>
      <vt:variant>
        <vt:lpwstr>http://www.otcair.org/upload/Documents/Formal Actions/Chrg to SAS for Reg Attainment of Ozone.pdf</vt:lpwstr>
      </vt:variant>
      <vt:variant>
        <vt:lpwstr/>
      </vt:variant>
      <vt:variant>
        <vt:i4>1835015</vt:i4>
      </vt:variant>
      <vt:variant>
        <vt:i4>0</vt:i4>
      </vt:variant>
      <vt:variant>
        <vt:i4>0</vt:i4>
      </vt:variant>
      <vt:variant>
        <vt:i4>5</vt:i4>
      </vt:variant>
      <vt:variant>
        <vt:lpwstr>http://www.otcair.org/upload/Documents/Formal Actions/Charge to SAS Committee.pdf</vt:lpwstr>
      </vt:variant>
      <vt:variant>
        <vt:lpwstr/>
      </vt:variant>
      <vt:variant>
        <vt:i4>3801198</vt:i4>
      </vt:variant>
      <vt:variant>
        <vt:i4>18</vt:i4>
      </vt:variant>
      <vt:variant>
        <vt:i4>0</vt:i4>
      </vt:variant>
      <vt:variant>
        <vt:i4>5</vt:i4>
      </vt:variant>
      <vt:variant>
        <vt:lpwstr>https://mail.otcair.org/exchweb/bin/redir.asp?URL=http://www.nws.noaa.gov/climate/</vt:lpwstr>
      </vt:variant>
      <vt:variant>
        <vt:lpwstr/>
      </vt:variant>
      <vt:variant>
        <vt:i4>3407986</vt:i4>
      </vt:variant>
      <vt:variant>
        <vt:i4>15</vt:i4>
      </vt:variant>
      <vt:variant>
        <vt:i4>0</vt:i4>
      </vt:variant>
      <vt:variant>
        <vt:i4>5</vt:i4>
      </vt:variant>
      <vt:variant>
        <vt:lpwstr>https://mail.otcair.org/exchweb/bin/redir.asp?URL=http://ampd.epa.gov/ampd/</vt:lpwstr>
      </vt:variant>
      <vt:variant>
        <vt:lpwstr/>
      </vt:variant>
      <vt:variant>
        <vt:i4>7012361</vt:i4>
      </vt:variant>
      <vt:variant>
        <vt:i4>12</vt:i4>
      </vt:variant>
      <vt:variant>
        <vt:i4>0</vt:i4>
      </vt:variant>
      <vt:variant>
        <vt:i4>5</vt:i4>
      </vt:variant>
      <vt:variant>
        <vt:lpwstr>http://www.otcair.org/upload/Documents/Formal Actions/OTC_2007_SpecialMtg_ HEDDMOU_Final_070302%5b1%5d.pdf</vt:lpwstr>
      </vt:variant>
      <vt:variant>
        <vt:lpwstr/>
      </vt:variant>
      <vt:variant>
        <vt:i4>2555944</vt:i4>
      </vt:variant>
      <vt:variant>
        <vt:i4>9</vt:i4>
      </vt:variant>
      <vt:variant>
        <vt:i4>0</vt:i4>
      </vt:variant>
      <vt:variant>
        <vt:i4>5</vt:i4>
      </vt:variant>
      <vt:variant>
        <vt:lpwstr>http://www.otcair.org/upload/Documents/Model Rules/OTC Model Rule - HEDD Turbines Final.pdf</vt:lpwstr>
      </vt:variant>
      <vt:variant>
        <vt:lpwstr/>
      </vt:variant>
      <vt:variant>
        <vt:i4>720970</vt:i4>
      </vt:variant>
      <vt:variant>
        <vt:i4>6</vt:i4>
      </vt:variant>
      <vt:variant>
        <vt:i4>0</vt:i4>
      </vt:variant>
      <vt:variant>
        <vt:i4>5</vt:i4>
      </vt:variant>
      <vt:variant>
        <vt:lpwstr>http://www.otcair.org/upload/Documents/Meeting Materials/OTC Oil and Gas EGU Boiler NOx Model Rule Draft B_MOU_100603.pdf</vt:lpwstr>
      </vt:variant>
      <vt:variant>
        <vt:lpwstr/>
      </vt:variant>
      <vt:variant>
        <vt:i4>4456536</vt:i4>
      </vt:variant>
      <vt:variant>
        <vt:i4>3</vt:i4>
      </vt:variant>
      <vt:variant>
        <vt:i4>0</vt:i4>
      </vt:variant>
      <vt:variant>
        <vt:i4>5</vt:i4>
      </vt:variant>
      <vt:variant>
        <vt:lpwstr>http://www.otcair.org/upload/Documents/Formal Actions/Chrg to SAS for Reg Attainment of Ozone.pdf</vt:lpwstr>
      </vt:variant>
      <vt:variant>
        <vt:lpwstr/>
      </vt:variant>
      <vt:variant>
        <vt:i4>1835015</vt:i4>
      </vt:variant>
      <vt:variant>
        <vt:i4>0</vt:i4>
      </vt:variant>
      <vt:variant>
        <vt:i4>0</vt:i4>
      </vt:variant>
      <vt:variant>
        <vt:i4>5</vt:i4>
      </vt:variant>
      <vt:variant>
        <vt:lpwstr>http://www.otcair.org/upload/Documents/Formal Actions/Charge to SAS Committee.pdf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OTC Largest Contributor Analysis Electric Generating Unit (EGU) Workgroup</dc:title>
  <dc:creator>abodnarik</dc:creator>
  <cp:lastModifiedBy> </cp:lastModifiedBy>
  <cp:revision>5</cp:revision>
  <cp:lastPrinted>2014-09-17T15:47:00Z</cp:lastPrinted>
  <dcterms:created xsi:type="dcterms:W3CDTF">2014-09-18T15:56:00Z</dcterms:created>
  <dcterms:modified xsi:type="dcterms:W3CDTF">2014-09-18T17:13:00Z</dcterms:modified>
</cp:coreProperties>
</file>